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1FA52" w14:textId="77777777" w:rsidR="007D78E2" w:rsidRPr="007D78E2" w:rsidRDefault="007D78E2" w:rsidP="007D78E2">
      <w:pPr>
        <w:rPr>
          <w:lang w:val="en-US"/>
        </w:rPr>
      </w:pPr>
    </w:p>
    <w:p w14:paraId="610CD449" w14:textId="77777777" w:rsidR="007D78E2" w:rsidRPr="007D78E2" w:rsidRDefault="007D78E2" w:rsidP="007D78E2">
      <w:pPr>
        <w:rPr>
          <w:lang w:val="en-US"/>
        </w:rPr>
      </w:pPr>
    </w:p>
    <w:p w14:paraId="4438CCB6" w14:textId="77777777" w:rsidR="007D78E2" w:rsidRPr="007D78E2" w:rsidRDefault="007D78E2" w:rsidP="00E47A8E">
      <w:pPr>
        <w:pBdr>
          <w:top w:val="single" w:sz="4" w:space="1" w:color="auto"/>
          <w:left w:val="single" w:sz="4" w:space="4" w:color="auto"/>
          <w:bottom w:val="single" w:sz="4" w:space="1" w:color="auto"/>
          <w:right w:val="single" w:sz="4" w:space="4" w:color="auto"/>
        </w:pBdr>
        <w:shd w:val="clear" w:color="auto" w:fill="70AD47" w:themeFill="accent6"/>
        <w:jc w:val="center"/>
        <w:rPr>
          <w:b/>
          <w:bCs/>
          <w:sz w:val="36"/>
          <w:szCs w:val="36"/>
          <w:lang w:val="en-US"/>
        </w:rPr>
      </w:pPr>
      <w:r w:rsidRPr="007D78E2">
        <w:rPr>
          <w:b/>
          <w:bCs/>
          <w:sz w:val="36"/>
          <w:szCs w:val="36"/>
          <w:lang w:val="en-US"/>
        </w:rPr>
        <w:t>INMS Project</w:t>
      </w:r>
    </w:p>
    <w:p w14:paraId="52123F67" w14:textId="77777777" w:rsidR="007D78E2" w:rsidRPr="007D78E2" w:rsidRDefault="007D78E2" w:rsidP="00E47A8E">
      <w:pPr>
        <w:pBdr>
          <w:top w:val="single" w:sz="4" w:space="1" w:color="auto"/>
          <w:left w:val="single" w:sz="4" w:space="4" w:color="auto"/>
          <w:bottom w:val="single" w:sz="4" w:space="1" w:color="auto"/>
          <w:right w:val="single" w:sz="4" w:space="4" w:color="auto"/>
        </w:pBdr>
        <w:shd w:val="clear" w:color="auto" w:fill="70AD47" w:themeFill="accent6"/>
        <w:jc w:val="center"/>
        <w:rPr>
          <w:b/>
          <w:bCs/>
          <w:i/>
          <w:iCs/>
          <w:sz w:val="36"/>
          <w:szCs w:val="36"/>
          <w:lang w:val="en-US"/>
        </w:rPr>
      </w:pPr>
      <w:r w:rsidRPr="007D78E2">
        <w:rPr>
          <w:b/>
          <w:bCs/>
          <w:i/>
          <w:iCs/>
          <w:sz w:val="36"/>
          <w:szCs w:val="36"/>
          <w:lang w:val="en-US"/>
        </w:rPr>
        <w:t>GEF FULL SIZE PROJECT DOCUMENT</w:t>
      </w:r>
    </w:p>
    <w:p w14:paraId="211731BB" w14:textId="714FF905" w:rsidR="007D78E2" w:rsidRPr="007D78E2" w:rsidRDefault="007D78E2" w:rsidP="00E47A8E">
      <w:pPr>
        <w:pBdr>
          <w:top w:val="single" w:sz="4" w:space="1" w:color="auto"/>
          <w:left w:val="single" w:sz="4" w:space="4" w:color="auto"/>
          <w:bottom w:val="single" w:sz="4" w:space="1" w:color="auto"/>
          <w:right w:val="single" w:sz="4" w:space="4" w:color="auto"/>
        </w:pBdr>
        <w:shd w:val="clear" w:color="auto" w:fill="70AD47" w:themeFill="accent6"/>
        <w:jc w:val="center"/>
        <w:rPr>
          <w:b/>
          <w:bCs/>
          <w:i/>
          <w:iCs/>
          <w:sz w:val="36"/>
          <w:szCs w:val="36"/>
          <w:lang w:val="en-US"/>
        </w:rPr>
      </w:pPr>
      <w:r w:rsidRPr="007D78E2">
        <w:rPr>
          <w:b/>
          <w:bCs/>
          <w:i/>
          <w:iCs/>
          <w:sz w:val="36"/>
          <w:szCs w:val="36"/>
          <w:lang w:val="en-US"/>
        </w:rPr>
        <w:t xml:space="preserve">Appendix </w:t>
      </w:r>
      <w:r w:rsidR="000D0B4B">
        <w:rPr>
          <w:b/>
          <w:bCs/>
          <w:i/>
          <w:iCs/>
          <w:sz w:val="36"/>
          <w:szCs w:val="36"/>
          <w:lang w:val="en-US"/>
        </w:rPr>
        <w:t>16</w:t>
      </w:r>
    </w:p>
    <w:p w14:paraId="11DB8836" w14:textId="1333675B" w:rsidR="007D78E2" w:rsidRPr="00415B28" w:rsidRDefault="004C34C5" w:rsidP="00415B28">
      <w:pPr>
        <w:pBdr>
          <w:top w:val="single" w:sz="4" w:space="1" w:color="auto"/>
          <w:left w:val="single" w:sz="4" w:space="4" w:color="auto"/>
          <w:bottom w:val="single" w:sz="4" w:space="1" w:color="auto"/>
          <w:right w:val="single" w:sz="4" w:space="4" w:color="auto"/>
        </w:pBdr>
        <w:shd w:val="clear" w:color="auto" w:fill="70AD47" w:themeFill="accent6"/>
        <w:jc w:val="center"/>
        <w:rPr>
          <w:b/>
          <w:bCs/>
          <w:i/>
          <w:iCs/>
          <w:sz w:val="36"/>
          <w:szCs w:val="36"/>
        </w:rPr>
      </w:pPr>
      <w:r>
        <w:rPr>
          <w:b/>
          <w:bCs/>
          <w:i/>
          <w:iCs/>
          <w:sz w:val="36"/>
          <w:szCs w:val="36"/>
          <w:lang w:val="en-US"/>
        </w:rPr>
        <w:t xml:space="preserve">Component </w:t>
      </w:r>
      <w:r w:rsidR="000D0B4B">
        <w:rPr>
          <w:b/>
          <w:bCs/>
          <w:i/>
          <w:iCs/>
          <w:sz w:val="36"/>
          <w:szCs w:val="36"/>
          <w:lang w:val="en-US"/>
        </w:rPr>
        <w:t>2</w:t>
      </w:r>
      <w:r>
        <w:rPr>
          <w:b/>
          <w:bCs/>
          <w:i/>
          <w:iCs/>
          <w:sz w:val="36"/>
          <w:szCs w:val="36"/>
          <w:lang w:val="en-US"/>
        </w:rPr>
        <w:t xml:space="preserve">: </w:t>
      </w:r>
      <w:r w:rsidR="00415B28">
        <w:rPr>
          <w:b/>
          <w:bCs/>
          <w:i/>
          <w:iCs/>
          <w:sz w:val="36"/>
          <w:szCs w:val="36"/>
          <w:lang w:val="en-US"/>
        </w:rPr>
        <w:t>Global q</w:t>
      </w:r>
      <w:r w:rsidR="00415B28" w:rsidRPr="00415B28">
        <w:rPr>
          <w:b/>
          <w:bCs/>
          <w:i/>
          <w:iCs/>
          <w:sz w:val="36"/>
          <w:szCs w:val="36"/>
          <w:lang w:val="en-US"/>
        </w:rPr>
        <w:t xml:space="preserve">uantification of N flows, </w:t>
      </w:r>
      <w:r w:rsidR="00415B28" w:rsidRPr="00415B28">
        <w:rPr>
          <w:b/>
          <w:bCs/>
          <w:i/>
          <w:iCs/>
          <w:sz w:val="36"/>
          <w:szCs w:val="36"/>
          <w:lang w:val="en-US"/>
        </w:rPr>
        <w:br/>
        <w:t>threats &amp; benefits</w:t>
      </w:r>
    </w:p>
    <w:p w14:paraId="2E0538B7" w14:textId="77777777" w:rsidR="007D78E2" w:rsidRPr="007D78E2" w:rsidRDefault="007D78E2" w:rsidP="007D78E2">
      <w:pPr>
        <w:rPr>
          <w:lang w:val="en-US"/>
        </w:rPr>
      </w:pPr>
    </w:p>
    <w:p w14:paraId="195D87B2" w14:textId="77777777" w:rsidR="007D78E2" w:rsidRPr="007D78E2" w:rsidRDefault="007D78E2" w:rsidP="007D78E2">
      <w:pPr>
        <w:rPr>
          <w:lang w:val="en-US"/>
        </w:rPr>
      </w:pPr>
    </w:p>
    <w:p w14:paraId="342B6885" w14:textId="77777777" w:rsidR="00FC13B6" w:rsidRDefault="00FC13B6" w:rsidP="007D78E2">
      <w:pPr>
        <w:rPr>
          <w:lang w:val="en-US"/>
        </w:rPr>
        <w:sectPr w:rsidR="00FC13B6">
          <w:headerReference w:type="default" r:id="rId8"/>
          <w:footerReference w:type="default" r:id="rId9"/>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color w:val="auto"/>
          <w:sz w:val="22"/>
          <w:szCs w:val="22"/>
          <w:lang w:val="en-GB"/>
        </w:rPr>
        <w:id w:val="-521243231"/>
        <w:docPartObj>
          <w:docPartGallery w:val="Table of Contents"/>
          <w:docPartUnique/>
        </w:docPartObj>
      </w:sdtPr>
      <w:sdtEndPr>
        <w:rPr>
          <w:bCs/>
          <w:noProof/>
        </w:rPr>
      </w:sdtEndPr>
      <w:sdtContent>
        <w:p w14:paraId="00557A48" w14:textId="77777777" w:rsidR="00FC13B6" w:rsidRDefault="00FC13B6">
          <w:pPr>
            <w:pStyle w:val="TOCHeading"/>
          </w:pPr>
          <w:r>
            <w:t>Table of Contents</w:t>
          </w:r>
        </w:p>
        <w:p w14:paraId="18467620" w14:textId="77777777" w:rsidR="009046DC" w:rsidRDefault="00FC13B6">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442303825" w:history="1">
            <w:r w:rsidR="009046DC" w:rsidRPr="00836001">
              <w:rPr>
                <w:rStyle w:val="Hyperlink"/>
                <w:noProof/>
              </w:rPr>
              <w:t>1</w:t>
            </w:r>
            <w:r w:rsidR="009046DC">
              <w:rPr>
                <w:rFonts w:eastAsiaTheme="minorEastAsia"/>
                <w:noProof/>
                <w:lang w:eastAsia="en-GB"/>
              </w:rPr>
              <w:tab/>
            </w:r>
            <w:r w:rsidR="009046DC" w:rsidRPr="00836001">
              <w:rPr>
                <w:rStyle w:val="Hyperlink"/>
                <w:noProof/>
              </w:rPr>
              <w:t>Component Identification</w:t>
            </w:r>
            <w:r w:rsidR="009046DC">
              <w:rPr>
                <w:noProof/>
                <w:webHidden/>
              </w:rPr>
              <w:tab/>
            </w:r>
            <w:r w:rsidR="009046DC">
              <w:rPr>
                <w:noProof/>
                <w:webHidden/>
              </w:rPr>
              <w:fldChar w:fldCharType="begin"/>
            </w:r>
            <w:r w:rsidR="009046DC">
              <w:rPr>
                <w:noProof/>
                <w:webHidden/>
              </w:rPr>
              <w:instrText xml:space="preserve"> PAGEREF _Toc442303825 \h </w:instrText>
            </w:r>
            <w:r w:rsidR="009046DC">
              <w:rPr>
                <w:noProof/>
                <w:webHidden/>
              </w:rPr>
            </w:r>
            <w:r w:rsidR="009046DC">
              <w:rPr>
                <w:noProof/>
                <w:webHidden/>
              </w:rPr>
              <w:fldChar w:fldCharType="separate"/>
            </w:r>
            <w:r w:rsidR="009046DC">
              <w:rPr>
                <w:noProof/>
                <w:webHidden/>
              </w:rPr>
              <w:t>4</w:t>
            </w:r>
            <w:r w:rsidR="009046DC">
              <w:rPr>
                <w:noProof/>
                <w:webHidden/>
              </w:rPr>
              <w:fldChar w:fldCharType="end"/>
            </w:r>
          </w:hyperlink>
        </w:p>
        <w:p w14:paraId="622E6E08" w14:textId="77777777" w:rsidR="009046DC" w:rsidRDefault="00D2541A">
          <w:pPr>
            <w:pStyle w:val="TOC2"/>
            <w:tabs>
              <w:tab w:val="left" w:pos="880"/>
              <w:tab w:val="right" w:leader="dot" w:pos="9016"/>
            </w:tabs>
            <w:rPr>
              <w:rFonts w:eastAsiaTheme="minorEastAsia"/>
              <w:noProof/>
              <w:lang w:eastAsia="en-GB"/>
            </w:rPr>
          </w:pPr>
          <w:hyperlink w:anchor="_Toc442303826" w:history="1">
            <w:r w:rsidR="009046DC" w:rsidRPr="00836001">
              <w:rPr>
                <w:rStyle w:val="Hyperlink"/>
                <w:noProof/>
              </w:rPr>
              <w:t>1.1</w:t>
            </w:r>
            <w:r w:rsidR="009046DC">
              <w:rPr>
                <w:rFonts w:eastAsiaTheme="minorEastAsia"/>
                <w:noProof/>
                <w:lang w:eastAsia="en-GB"/>
              </w:rPr>
              <w:tab/>
            </w:r>
            <w:r w:rsidR="009046DC" w:rsidRPr="00836001">
              <w:rPr>
                <w:rStyle w:val="Hyperlink"/>
                <w:noProof/>
              </w:rPr>
              <w:t>Component Summary</w:t>
            </w:r>
            <w:r w:rsidR="009046DC">
              <w:rPr>
                <w:noProof/>
                <w:webHidden/>
              </w:rPr>
              <w:tab/>
            </w:r>
            <w:r w:rsidR="009046DC">
              <w:rPr>
                <w:noProof/>
                <w:webHidden/>
              </w:rPr>
              <w:fldChar w:fldCharType="begin"/>
            </w:r>
            <w:r w:rsidR="009046DC">
              <w:rPr>
                <w:noProof/>
                <w:webHidden/>
              </w:rPr>
              <w:instrText xml:space="preserve"> PAGEREF _Toc442303826 \h </w:instrText>
            </w:r>
            <w:r w:rsidR="009046DC">
              <w:rPr>
                <w:noProof/>
                <w:webHidden/>
              </w:rPr>
            </w:r>
            <w:r w:rsidR="009046DC">
              <w:rPr>
                <w:noProof/>
                <w:webHidden/>
              </w:rPr>
              <w:fldChar w:fldCharType="separate"/>
            </w:r>
            <w:r w:rsidR="009046DC">
              <w:rPr>
                <w:noProof/>
                <w:webHidden/>
              </w:rPr>
              <w:t>4</w:t>
            </w:r>
            <w:r w:rsidR="009046DC">
              <w:rPr>
                <w:noProof/>
                <w:webHidden/>
              </w:rPr>
              <w:fldChar w:fldCharType="end"/>
            </w:r>
          </w:hyperlink>
        </w:p>
        <w:p w14:paraId="2A4022E4" w14:textId="77777777" w:rsidR="009046DC" w:rsidRDefault="00D2541A">
          <w:pPr>
            <w:pStyle w:val="TOC2"/>
            <w:tabs>
              <w:tab w:val="left" w:pos="880"/>
              <w:tab w:val="right" w:leader="dot" w:pos="9016"/>
            </w:tabs>
            <w:rPr>
              <w:rFonts w:eastAsiaTheme="minorEastAsia"/>
              <w:noProof/>
              <w:lang w:eastAsia="en-GB"/>
            </w:rPr>
          </w:pPr>
          <w:hyperlink w:anchor="_Toc442303827" w:history="1">
            <w:r w:rsidR="009046DC" w:rsidRPr="00836001">
              <w:rPr>
                <w:rStyle w:val="Hyperlink"/>
                <w:noProof/>
              </w:rPr>
              <w:t>1.2</w:t>
            </w:r>
            <w:r w:rsidR="009046DC">
              <w:rPr>
                <w:rFonts w:eastAsiaTheme="minorEastAsia"/>
                <w:noProof/>
                <w:lang w:eastAsia="en-GB"/>
              </w:rPr>
              <w:tab/>
            </w:r>
            <w:r w:rsidR="009046DC" w:rsidRPr="00836001">
              <w:rPr>
                <w:rStyle w:val="Hyperlink"/>
                <w:noProof/>
              </w:rPr>
              <w:t>Links with other Components</w:t>
            </w:r>
            <w:r w:rsidR="009046DC">
              <w:rPr>
                <w:noProof/>
                <w:webHidden/>
              </w:rPr>
              <w:tab/>
            </w:r>
            <w:r w:rsidR="009046DC">
              <w:rPr>
                <w:noProof/>
                <w:webHidden/>
              </w:rPr>
              <w:fldChar w:fldCharType="begin"/>
            </w:r>
            <w:r w:rsidR="009046DC">
              <w:rPr>
                <w:noProof/>
                <w:webHidden/>
              </w:rPr>
              <w:instrText xml:space="preserve"> PAGEREF _Toc442303827 \h </w:instrText>
            </w:r>
            <w:r w:rsidR="009046DC">
              <w:rPr>
                <w:noProof/>
                <w:webHidden/>
              </w:rPr>
            </w:r>
            <w:r w:rsidR="009046DC">
              <w:rPr>
                <w:noProof/>
                <w:webHidden/>
              </w:rPr>
              <w:fldChar w:fldCharType="separate"/>
            </w:r>
            <w:r w:rsidR="009046DC">
              <w:rPr>
                <w:noProof/>
                <w:webHidden/>
              </w:rPr>
              <w:t>5</w:t>
            </w:r>
            <w:r w:rsidR="009046DC">
              <w:rPr>
                <w:noProof/>
                <w:webHidden/>
              </w:rPr>
              <w:fldChar w:fldCharType="end"/>
            </w:r>
          </w:hyperlink>
        </w:p>
        <w:p w14:paraId="79875393" w14:textId="77777777" w:rsidR="009046DC" w:rsidRDefault="00D2541A">
          <w:pPr>
            <w:pStyle w:val="TOC1"/>
            <w:tabs>
              <w:tab w:val="left" w:pos="440"/>
              <w:tab w:val="right" w:leader="dot" w:pos="9016"/>
            </w:tabs>
            <w:rPr>
              <w:rFonts w:eastAsiaTheme="minorEastAsia"/>
              <w:noProof/>
              <w:lang w:eastAsia="en-GB"/>
            </w:rPr>
          </w:pPr>
          <w:hyperlink w:anchor="_Toc442303828" w:history="1">
            <w:r w:rsidR="009046DC" w:rsidRPr="00836001">
              <w:rPr>
                <w:rStyle w:val="Hyperlink"/>
                <w:noProof/>
              </w:rPr>
              <w:t>2</w:t>
            </w:r>
            <w:r w:rsidR="009046DC">
              <w:rPr>
                <w:rFonts w:eastAsiaTheme="minorEastAsia"/>
                <w:noProof/>
                <w:lang w:eastAsia="en-GB"/>
              </w:rPr>
              <w:tab/>
            </w:r>
            <w:r w:rsidR="009046DC" w:rsidRPr="00836001">
              <w:rPr>
                <w:rStyle w:val="Hyperlink"/>
                <w:noProof/>
              </w:rPr>
              <w:t>Component Design</w:t>
            </w:r>
            <w:r w:rsidR="009046DC">
              <w:rPr>
                <w:noProof/>
                <w:webHidden/>
              </w:rPr>
              <w:tab/>
            </w:r>
            <w:r w:rsidR="009046DC">
              <w:rPr>
                <w:noProof/>
                <w:webHidden/>
              </w:rPr>
              <w:fldChar w:fldCharType="begin"/>
            </w:r>
            <w:r w:rsidR="009046DC">
              <w:rPr>
                <w:noProof/>
                <w:webHidden/>
              </w:rPr>
              <w:instrText xml:space="preserve"> PAGEREF _Toc442303828 \h </w:instrText>
            </w:r>
            <w:r w:rsidR="009046DC">
              <w:rPr>
                <w:noProof/>
                <w:webHidden/>
              </w:rPr>
            </w:r>
            <w:r w:rsidR="009046DC">
              <w:rPr>
                <w:noProof/>
                <w:webHidden/>
              </w:rPr>
              <w:fldChar w:fldCharType="separate"/>
            </w:r>
            <w:r w:rsidR="009046DC">
              <w:rPr>
                <w:noProof/>
                <w:webHidden/>
              </w:rPr>
              <w:t>5</w:t>
            </w:r>
            <w:r w:rsidR="009046DC">
              <w:rPr>
                <w:noProof/>
                <w:webHidden/>
              </w:rPr>
              <w:fldChar w:fldCharType="end"/>
            </w:r>
          </w:hyperlink>
        </w:p>
        <w:p w14:paraId="579E2AEF" w14:textId="77777777" w:rsidR="009046DC" w:rsidRDefault="00D2541A">
          <w:pPr>
            <w:pStyle w:val="TOC2"/>
            <w:tabs>
              <w:tab w:val="left" w:pos="880"/>
              <w:tab w:val="right" w:leader="dot" w:pos="9016"/>
            </w:tabs>
            <w:rPr>
              <w:rFonts w:eastAsiaTheme="minorEastAsia"/>
              <w:noProof/>
              <w:lang w:eastAsia="en-GB"/>
            </w:rPr>
          </w:pPr>
          <w:hyperlink w:anchor="_Toc442303829" w:history="1">
            <w:r w:rsidR="009046DC" w:rsidRPr="00836001">
              <w:rPr>
                <w:rStyle w:val="Hyperlink"/>
                <w:noProof/>
              </w:rPr>
              <w:t>2.1</w:t>
            </w:r>
            <w:r w:rsidR="009046DC">
              <w:rPr>
                <w:rFonts w:eastAsiaTheme="minorEastAsia"/>
                <w:noProof/>
                <w:lang w:eastAsia="en-GB"/>
              </w:rPr>
              <w:tab/>
            </w:r>
            <w:r w:rsidR="009046DC" w:rsidRPr="00836001">
              <w:rPr>
                <w:rStyle w:val="Hyperlink"/>
                <w:noProof/>
              </w:rPr>
              <w:t>Background and context</w:t>
            </w:r>
            <w:r w:rsidR="009046DC">
              <w:rPr>
                <w:noProof/>
                <w:webHidden/>
              </w:rPr>
              <w:tab/>
            </w:r>
            <w:r w:rsidR="009046DC">
              <w:rPr>
                <w:noProof/>
                <w:webHidden/>
              </w:rPr>
              <w:fldChar w:fldCharType="begin"/>
            </w:r>
            <w:r w:rsidR="009046DC">
              <w:rPr>
                <w:noProof/>
                <w:webHidden/>
              </w:rPr>
              <w:instrText xml:space="preserve"> PAGEREF _Toc442303829 \h </w:instrText>
            </w:r>
            <w:r w:rsidR="009046DC">
              <w:rPr>
                <w:noProof/>
                <w:webHidden/>
              </w:rPr>
            </w:r>
            <w:r w:rsidR="009046DC">
              <w:rPr>
                <w:noProof/>
                <w:webHidden/>
              </w:rPr>
              <w:fldChar w:fldCharType="separate"/>
            </w:r>
            <w:r w:rsidR="009046DC">
              <w:rPr>
                <w:noProof/>
                <w:webHidden/>
              </w:rPr>
              <w:t>5</w:t>
            </w:r>
            <w:r w:rsidR="009046DC">
              <w:rPr>
                <w:noProof/>
                <w:webHidden/>
              </w:rPr>
              <w:fldChar w:fldCharType="end"/>
            </w:r>
          </w:hyperlink>
        </w:p>
        <w:p w14:paraId="69E1E877" w14:textId="77777777" w:rsidR="009046DC" w:rsidRDefault="00D2541A">
          <w:pPr>
            <w:pStyle w:val="TOC2"/>
            <w:tabs>
              <w:tab w:val="left" w:pos="880"/>
              <w:tab w:val="right" w:leader="dot" w:pos="9016"/>
            </w:tabs>
            <w:rPr>
              <w:rFonts w:eastAsiaTheme="minorEastAsia"/>
              <w:noProof/>
              <w:lang w:eastAsia="en-GB"/>
            </w:rPr>
          </w:pPr>
          <w:hyperlink w:anchor="_Toc442303830" w:history="1">
            <w:r w:rsidR="009046DC" w:rsidRPr="00836001">
              <w:rPr>
                <w:rStyle w:val="Hyperlink"/>
                <w:noProof/>
              </w:rPr>
              <w:t>2.2</w:t>
            </w:r>
            <w:r w:rsidR="009046DC">
              <w:rPr>
                <w:rFonts w:eastAsiaTheme="minorEastAsia"/>
                <w:noProof/>
                <w:lang w:eastAsia="en-GB"/>
              </w:rPr>
              <w:tab/>
            </w:r>
            <w:r w:rsidR="009046DC" w:rsidRPr="00836001">
              <w:rPr>
                <w:rStyle w:val="Hyperlink"/>
                <w:noProof/>
              </w:rPr>
              <w:t>Baseline</w:t>
            </w:r>
            <w:r w:rsidR="009046DC">
              <w:rPr>
                <w:noProof/>
                <w:webHidden/>
              </w:rPr>
              <w:tab/>
            </w:r>
            <w:r w:rsidR="009046DC">
              <w:rPr>
                <w:noProof/>
                <w:webHidden/>
              </w:rPr>
              <w:fldChar w:fldCharType="begin"/>
            </w:r>
            <w:r w:rsidR="009046DC">
              <w:rPr>
                <w:noProof/>
                <w:webHidden/>
              </w:rPr>
              <w:instrText xml:space="preserve"> PAGEREF _Toc442303830 \h </w:instrText>
            </w:r>
            <w:r w:rsidR="009046DC">
              <w:rPr>
                <w:noProof/>
                <w:webHidden/>
              </w:rPr>
            </w:r>
            <w:r w:rsidR="009046DC">
              <w:rPr>
                <w:noProof/>
                <w:webHidden/>
              </w:rPr>
              <w:fldChar w:fldCharType="separate"/>
            </w:r>
            <w:r w:rsidR="009046DC">
              <w:rPr>
                <w:noProof/>
                <w:webHidden/>
              </w:rPr>
              <w:t>8</w:t>
            </w:r>
            <w:r w:rsidR="009046DC">
              <w:rPr>
                <w:noProof/>
                <w:webHidden/>
              </w:rPr>
              <w:fldChar w:fldCharType="end"/>
            </w:r>
          </w:hyperlink>
        </w:p>
        <w:p w14:paraId="1AA00EAD" w14:textId="77777777" w:rsidR="009046DC" w:rsidRDefault="00D2541A">
          <w:pPr>
            <w:pStyle w:val="TOC3"/>
            <w:tabs>
              <w:tab w:val="left" w:pos="1320"/>
              <w:tab w:val="right" w:leader="dot" w:pos="9016"/>
            </w:tabs>
            <w:rPr>
              <w:rFonts w:eastAsiaTheme="minorEastAsia"/>
              <w:noProof/>
              <w:lang w:eastAsia="en-GB"/>
            </w:rPr>
          </w:pPr>
          <w:hyperlink w:anchor="_Toc442303831" w:history="1">
            <w:r w:rsidR="009046DC" w:rsidRPr="00836001">
              <w:rPr>
                <w:rStyle w:val="Hyperlink"/>
                <w:noProof/>
              </w:rPr>
              <w:t>2.2.1</w:t>
            </w:r>
            <w:r w:rsidR="009046DC">
              <w:rPr>
                <w:rFonts w:eastAsiaTheme="minorEastAsia"/>
                <w:noProof/>
                <w:lang w:eastAsia="en-GB"/>
              </w:rPr>
              <w:tab/>
            </w:r>
            <w:r w:rsidR="009046DC" w:rsidRPr="00836001">
              <w:rPr>
                <w:rStyle w:val="Hyperlink"/>
                <w:noProof/>
              </w:rPr>
              <w:t>Baseline analysis</w:t>
            </w:r>
            <w:r w:rsidR="009046DC">
              <w:rPr>
                <w:noProof/>
                <w:webHidden/>
              </w:rPr>
              <w:tab/>
            </w:r>
            <w:r w:rsidR="009046DC">
              <w:rPr>
                <w:noProof/>
                <w:webHidden/>
              </w:rPr>
              <w:fldChar w:fldCharType="begin"/>
            </w:r>
            <w:r w:rsidR="009046DC">
              <w:rPr>
                <w:noProof/>
                <w:webHidden/>
              </w:rPr>
              <w:instrText xml:space="preserve"> PAGEREF _Toc442303831 \h </w:instrText>
            </w:r>
            <w:r w:rsidR="009046DC">
              <w:rPr>
                <w:noProof/>
                <w:webHidden/>
              </w:rPr>
            </w:r>
            <w:r w:rsidR="009046DC">
              <w:rPr>
                <w:noProof/>
                <w:webHidden/>
              </w:rPr>
              <w:fldChar w:fldCharType="separate"/>
            </w:r>
            <w:r w:rsidR="009046DC">
              <w:rPr>
                <w:noProof/>
                <w:webHidden/>
              </w:rPr>
              <w:t>8</w:t>
            </w:r>
            <w:r w:rsidR="009046DC">
              <w:rPr>
                <w:noProof/>
                <w:webHidden/>
              </w:rPr>
              <w:fldChar w:fldCharType="end"/>
            </w:r>
          </w:hyperlink>
        </w:p>
        <w:p w14:paraId="095FB67A" w14:textId="77777777" w:rsidR="009046DC" w:rsidRDefault="00D2541A">
          <w:pPr>
            <w:pStyle w:val="TOC3"/>
            <w:tabs>
              <w:tab w:val="left" w:pos="1320"/>
              <w:tab w:val="right" w:leader="dot" w:pos="9016"/>
            </w:tabs>
            <w:rPr>
              <w:rFonts w:eastAsiaTheme="minorEastAsia"/>
              <w:noProof/>
              <w:lang w:eastAsia="en-GB"/>
            </w:rPr>
          </w:pPr>
          <w:hyperlink w:anchor="_Toc442303832" w:history="1">
            <w:r w:rsidR="009046DC" w:rsidRPr="00836001">
              <w:rPr>
                <w:rStyle w:val="Hyperlink"/>
                <w:noProof/>
              </w:rPr>
              <w:t>2.2.2</w:t>
            </w:r>
            <w:r w:rsidR="009046DC">
              <w:rPr>
                <w:rFonts w:eastAsiaTheme="minorEastAsia"/>
                <w:noProof/>
                <w:lang w:eastAsia="en-GB"/>
              </w:rPr>
              <w:tab/>
            </w:r>
            <w:r w:rsidR="009046DC" w:rsidRPr="00836001">
              <w:rPr>
                <w:rStyle w:val="Hyperlink"/>
                <w:noProof/>
              </w:rPr>
              <w:t>Gaps</w:t>
            </w:r>
            <w:r w:rsidR="009046DC">
              <w:rPr>
                <w:noProof/>
                <w:webHidden/>
              </w:rPr>
              <w:tab/>
            </w:r>
            <w:r w:rsidR="009046DC">
              <w:rPr>
                <w:noProof/>
                <w:webHidden/>
              </w:rPr>
              <w:fldChar w:fldCharType="begin"/>
            </w:r>
            <w:r w:rsidR="009046DC">
              <w:rPr>
                <w:noProof/>
                <w:webHidden/>
              </w:rPr>
              <w:instrText xml:space="preserve"> PAGEREF _Toc442303832 \h </w:instrText>
            </w:r>
            <w:r w:rsidR="009046DC">
              <w:rPr>
                <w:noProof/>
                <w:webHidden/>
              </w:rPr>
            </w:r>
            <w:r w:rsidR="009046DC">
              <w:rPr>
                <w:noProof/>
                <w:webHidden/>
              </w:rPr>
              <w:fldChar w:fldCharType="separate"/>
            </w:r>
            <w:r w:rsidR="009046DC">
              <w:rPr>
                <w:noProof/>
                <w:webHidden/>
              </w:rPr>
              <w:t>11</w:t>
            </w:r>
            <w:r w:rsidR="009046DC">
              <w:rPr>
                <w:noProof/>
                <w:webHidden/>
              </w:rPr>
              <w:fldChar w:fldCharType="end"/>
            </w:r>
          </w:hyperlink>
        </w:p>
        <w:p w14:paraId="37E81F91" w14:textId="77777777" w:rsidR="009046DC" w:rsidRDefault="00D2541A">
          <w:pPr>
            <w:pStyle w:val="TOC3"/>
            <w:tabs>
              <w:tab w:val="left" w:pos="1320"/>
              <w:tab w:val="right" w:leader="dot" w:pos="9016"/>
            </w:tabs>
            <w:rPr>
              <w:rFonts w:eastAsiaTheme="minorEastAsia"/>
              <w:noProof/>
              <w:lang w:eastAsia="en-GB"/>
            </w:rPr>
          </w:pPr>
          <w:hyperlink w:anchor="_Toc442303833" w:history="1">
            <w:r w:rsidR="009046DC" w:rsidRPr="00836001">
              <w:rPr>
                <w:rStyle w:val="Hyperlink"/>
                <w:noProof/>
              </w:rPr>
              <w:t>2.2.3</w:t>
            </w:r>
            <w:r w:rsidR="009046DC">
              <w:rPr>
                <w:rFonts w:eastAsiaTheme="minorEastAsia"/>
                <w:noProof/>
                <w:lang w:eastAsia="en-GB"/>
              </w:rPr>
              <w:tab/>
            </w:r>
            <w:r w:rsidR="009046DC" w:rsidRPr="00836001">
              <w:rPr>
                <w:rStyle w:val="Hyperlink"/>
                <w:noProof/>
              </w:rPr>
              <w:t>Stakeholder analysis</w:t>
            </w:r>
            <w:r w:rsidR="009046DC">
              <w:rPr>
                <w:noProof/>
                <w:webHidden/>
              </w:rPr>
              <w:tab/>
            </w:r>
            <w:r w:rsidR="009046DC">
              <w:rPr>
                <w:noProof/>
                <w:webHidden/>
              </w:rPr>
              <w:fldChar w:fldCharType="begin"/>
            </w:r>
            <w:r w:rsidR="009046DC">
              <w:rPr>
                <w:noProof/>
                <w:webHidden/>
              </w:rPr>
              <w:instrText xml:space="preserve"> PAGEREF _Toc442303833 \h </w:instrText>
            </w:r>
            <w:r w:rsidR="009046DC">
              <w:rPr>
                <w:noProof/>
                <w:webHidden/>
              </w:rPr>
            </w:r>
            <w:r w:rsidR="009046DC">
              <w:rPr>
                <w:noProof/>
                <w:webHidden/>
              </w:rPr>
              <w:fldChar w:fldCharType="separate"/>
            </w:r>
            <w:r w:rsidR="009046DC">
              <w:rPr>
                <w:noProof/>
                <w:webHidden/>
              </w:rPr>
              <w:t>12</w:t>
            </w:r>
            <w:r w:rsidR="009046DC">
              <w:rPr>
                <w:noProof/>
                <w:webHidden/>
              </w:rPr>
              <w:fldChar w:fldCharType="end"/>
            </w:r>
          </w:hyperlink>
        </w:p>
        <w:p w14:paraId="5F0FCED2" w14:textId="77777777" w:rsidR="009046DC" w:rsidRDefault="00D2541A">
          <w:pPr>
            <w:pStyle w:val="TOC2"/>
            <w:tabs>
              <w:tab w:val="left" w:pos="880"/>
              <w:tab w:val="right" w:leader="dot" w:pos="9016"/>
            </w:tabs>
            <w:rPr>
              <w:rFonts w:eastAsiaTheme="minorEastAsia"/>
              <w:noProof/>
              <w:lang w:eastAsia="en-GB"/>
            </w:rPr>
          </w:pPr>
          <w:hyperlink w:anchor="_Toc442303834" w:history="1">
            <w:r w:rsidR="009046DC" w:rsidRPr="00836001">
              <w:rPr>
                <w:rStyle w:val="Hyperlink"/>
                <w:noProof/>
              </w:rPr>
              <w:t>2.3</w:t>
            </w:r>
            <w:r w:rsidR="009046DC">
              <w:rPr>
                <w:rFonts w:eastAsiaTheme="minorEastAsia"/>
                <w:noProof/>
                <w:lang w:eastAsia="en-GB"/>
              </w:rPr>
              <w:tab/>
            </w:r>
            <w:r w:rsidR="009046DC" w:rsidRPr="00836001">
              <w:rPr>
                <w:rStyle w:val="Hyperlink"/>
                <w:noProof/>
              </w:rPr>
              <w:t>Overall objective and outcome</w:t>
            </w:r>
            <w:r w:rsidR="009046DC">
              <w:rPr>
                <w:noProof/>
                <w:webHidden/>
              </w:rPr>
              <w:tab/>
            </w:r>
            <w:r w:rsidR="009046DC">
              <w:rPr>
                <w:noProof/>
                <w:webHidden/>
              </w:rPr>
              <w:fldChar w:fldCharType="begin"/>
            </w:r>
            <w:r w:rsidR="009046DC">
              <w:rPr>
                <w:noProof/>
                <w:webHidden/>
              </w:rPr>
              <w:instrText xml:space="preserve"> PAGEREF _Toc442303834 \h </w:instrText>
            </w:r>
            <w:r w:rsidR="009046DC">
              <w:rPr>
                <w:noProof/>
                <w:webHidden/>
              </w:rPr>
            </w:r>
            <w:r w:rsidR="009046DC">
              <w:rPr>
                <w:noProof/>
                <w:webHidden/>
              </w:rPr>
              <w:fldChar w:fldCharType="separate"/>
            </w:r>
            <w:r w:rsidR="009046DC">
              <w:rPr>
                <w:noProof/>
                <w:webHidden/>
              </w:rPr>
              <w:t>13</w:t>
            </w:r>
            <w:r w:rsidR="009046DC">
              <w:rPr>
                <w:noProof/>
                <w:webHidden/>
              </w:rPr>
              <w:fldChar w:fldCharType="end"/>
            </w:r>
          </w:hyperlink>
        </w:p>
        <w:p w14:paraId="7C7E43A0" w14:textId="77777777" w:rsidR="009046DC" w:rsidRDefault="00D2541A">
          <w:pPr>
            <w:pStyle w:val="TOC2"/>
            <w:tabs>
              <w:tab w:val="left" w:pos="880"/>
              <w:tab w:val="right" w:leader="dot" w:pos="9016"/>
            </w:tabs>
            <w:rPr>
              <w:rFonts w:eastAsiaTheme="minorEastAsia"/>
              <w:noProof/>
              <w:lang w:eastAsia="en-GB"/>
            </w:rPr>
          </w:pPr>
          <w:hyperlink w:anchor="_Toc442303835" w:history="1">
            <w:r w:rsidR="009046DC" w:rsidRPr="00836001">
              <w:rPr>
                <w:rStyle w:val="Hyperlink"/>
                <w:noProof/>
              </w:rPr>
              <w:t>2.4</w:t>
            </w:r>
            <w:r w:rsidR="009046DC">
              <w:rPr>
                <w:rFonts w:eastAsiaTheme="minorEastAsia"/>
                <w:noProof/>
                <w:lang w:eastAsia="en-GB"/>
              </w:rPr>
              <w:tab/>
            </w:r>
            <w:r w:rsidR="009046DC" w:rsidRPr="00836001">
              <w:rPr>
                <w:rStyle w:val="Hyperlink"/>
                <w:noProof/>
              </w:rPr>
              <w:t>Outputs and activities</w:t>
            </w:r>
            <w:r w:rsidR="009046DC">
              <w:rPr>
                <w:noProof/>
                <w:webHidden/>
              </w:rPr>
              <w:tab/>
            </w:r>
            <w:r w:rsidR="009046DC">
              <w:rPr>
                <w:noProof/>
                <w:webHidden/>
              </w:rPr>
              <w:fldChar w:fldCharType="begin"/>
            </w:r>
            <w:r w:rsidR="009046DC">
              <w:rPr>
                <w:noProof/>
                <w:webHidden/>
              </w:rPr>
              <w:instrText xml:space="preserve"> PAGEREF _Toc442303835 \h </w:instrText>
            </w:r>
            <w:r w:rsidR="009046DC">
              <w:rPr>
                <w:noProof/>
                <w:webHidden/>
              </w:rPr>
            </w:r>
            <w:r w:rsidR="009046DC">
              <w:rPr>
                <w:noProof/>
                <w:webHidden/>
              </w:rPr>
              <w:fldChar w:fldCharType="separate"/>
            </w:r>
            <w:r w:rsidR="009046DC">
              <w:rPr>
                <w:noProof/>
                <w:webHidden/>
              </w:rPr>
              <w:t>14</w:t>
            </w:r>
            <w:r w:rsidR="009046DC">
              <w:rPr>
                <w:noProof/>
                <w:webHidden/>
              </w:rPr>
              <w:fldChar w:fldCharType="end"/>
            </w:r>
          </w:hyperlink>
        </w:p>
        <w:p w14:paraId="12F53C33" w14:textId="77777777" w:rsidR="009046DC" w:rsidRDefault="00D2541A">
          <w:pPr>
            <w:pStyle w:val="TOC3"/>
            <w:tabs>
              <w:tab w:val="left" w:pos="1320"/>
              <w:tab w:val="right" w:leader="dot" w:pos="9016"/>
            </w:tabs>
            <w:rPr>
              <w:rFonts w:eastAsiaTheme="minorEastAsia"/>
              <w:noProof/>
              <w:lang w:eastAsia="en-GB"/>
            </w:rPr>
          </w:pPr>
          <w:hyperlink w:anchor="_Toc442303836" w:history="1">
            <w:r w:rsidR="009046DC" w:rsidRPr="00836001">
              <w:rPr>
                <w:rStyle w:val="Hyperlink"/>
                <w:noProof/>
              </w:rPr>
              <w:t>2.4.1</w:t>
            </w:r>
            <w:r w:rsidR="009046DC">
              <w:rPr>
                <w:rFonts w:eastAsiaTheme="minorEastAsia"/>
                <w:noProof/>
                <w:lang w:eastAsia="en-GB"/>
              </w:rPr>
              <w:tab/>
            </w:r>
            <w:r w:rsidR="009046DC" w:rsidRPr="00836001">
              <w:rPr>
                <w:rStyle w:val="Hyperlink"/>
                <w:noProof/>
                <w:lang w:eastAsia="en-GB"/>
              </w:rPr>
              <w:t xml:space="preserve">Activity 2.1 :  </w:t>
            </w:r>
            <w:r w:rsidR="009046DC" w:rsidRPr="00836001">
              <w:rPr>
                <w:rStyle w:val="Hyperlink"/>
                <w:noProof/>
              </w:rPr>
              <w:t>Quantifying N flows, threats and benefits at global and regional scales</w:t>
            </w:r>
            <w:r w:rsidR="009046DC">
              <w:rPr>
                <w:noProof/>
                <w:webHidden/>
              </w:rPr>
              <w:tab/>
            </w:r>
            <w:r w:rsidR="009046DC">
              <w:rPr>
                <w:noProof/>
                <w:webHidden/>
              </w:rPr>
              <w:fldChar w:fldCharType="begin"/>
            </w:r>
            <w:r w:rsidR="009046DC">
              <w:rPr>
                <w:noProof/>
                <w:webHidden/>
              </w:rPr>
              <w:instrText xml:space="preserve"> PAGEREF _Toc442303836 \h </w:instrText>
            </w:r>
            <w:r w:rsidR="009046DC">
              <w:rPr>
                <w:noProof/>
                <w:webHidden/>
              </w:rPr>
            </w:r>
            <w:r w:rsidR="009046DC">
              <w:rPr>
                <w:noProof/>
                <w:webHidden/>
              </w:rPr>
              <w:fldChar w:fldCharType="separate"/>
            </w:r>
            <w:r w:rsidR="009046DC">
              <w:rPr>
                <w:noProof/>
                <w:webHidden/>
              </w:rPr>
              <w:t>14</w:t>
            </w:r>
            <w:r w:rsidR="009046DC">
              <w:rPr>
                <w:noProof/>
                <w:webHidden/>
              </w:rPr>
              <w:fldChar w:fldCharType="end"/>
            </w:r>
          </w:hyperlink>
        </w:p>
        <w:p w14:paraId="651339BB" w14:textId="77777777" w:rsidR="009046DC" w:rsidRDefault="00D2541A">
          <w:pPr>
            <w:pStyle w:val="TOC3"/>
            <w:tabs>
              <w:tab w:val="left" w:pos="1320"/>
              <w:tab w:val="right" w:leader="dot" w:pos="9016"/>
            </w:tabs>
            <w:rPr>
              <w:rFonts w:eastAsiaTheme="minorEastAsia"/>
              <w:noProof/>
              <w:lang w:eastAsia="en-GB"/>
            </w:rPr>
          </w:pPr>
          <w:hyperlink w:anchor="_Toc442303837" w:history="1">
            <w:r w:rsidR="009046DC" w:rsidRPr="00836001">
              <w:rPr>
                <w:rStyle w:val="Hyperlink"/>
                <w:noProof/>
              </w:rPr>
              <w:t>2.4.2</w:t>
            </w:r>
            <w:r w:rsidR="009046DC">
              <w:rPr>
                <w:rFonts w:eastAsiaTheme="minorEastAsia"/>
                <w:noProof/>
                <w:lang w:eastAsia="en-GB"/>
              </w:rPr>
              <w:tab/>
            </w:r>
            <w:r w:rsidR="009046DC" w:rsidRPr="00836001">
              <w:rPr>
                <w:rStyle w:val="Hyperlink"/>
                <w:noProof/>
                <w:lang w:eastAsia="en-GB"/>
              </w:rPr>
              <w:t xml:space="preserve">Activity 2.2:  </w:t>
            </w:r>
            <w:r w:rsidR="009046DC" w:rsidRPr="00836001">
              <w:rPr>
                <w:rStyle w:val="Hyperlink"/>
                <w:noProof/>
              </w:rPr>
              <w:t>Preparation of global assessment of N fluxes, pathways and impacts assimilating lessons from the regional demonstrations</w:t>
            </w:r>
            <w:r w:rsidR="009046DC">
              <w:rPr>
                <w:noProof/>
                <w:webHidden/>
              </w:rPr>
              <w:tab/>
            </w:r>
            <w:r w:rsidR="009046DC">
              <w:rPr>
                <w:noProof/>
                <w:webHidden/>
              </w:rPr>
              <w:fldChar w:fldCharType="begin"/>
            </w:r>
            <w:r w:rsidR="009046DC">
              <w:rPr>
                <w:noProof/>
                <w:webHidden/>
              </w:rPr>
              <w:instrText xml:space="preserve"> PAGEREF _Toc442303837 \h </w:instrText>
            </w:r>
            <w:r w:rsidR="009046DC">
              <w:rPr>
                <w:noProof/>
                <w:webHidden/>
              </w:rPr>
            </w:r>
            <w:r w:rsidR="009046DC">
              <w:rPr>
                <w:noProof/>
                <w:webHidden/>
              </w:rPr>
              <w:fldChar w:fldCharType="separate"/>
            </w:r>
            <w:r w:rsidR="009046DC">
              <w:rPr>
                <w:noProof/>
                <w:webHidden/>
              </w:rPr>
              <w:t>18</w:t>
            </w:r>
            <w:r w:rsidR="009046DC">
              <w:rPr>
                <w:noProof/>
                <w:webHidden/>
              </w:rPr>
              <w:fldChar w:fldCharType="end"/>
            </w:r>
          </w:hyperlink>
        </w:p>
        <w:p w14:paraId="2D9AA688" w14:textId="77777777" w:rsidR="009046DC" w:rsidRDefault="00D2541A">
          <w:pPr>
            <w:pStyle w:val="TOC3"/>
            <w:tabs>
              <w:tab w:val="left" w:pos="1320"/>
              <w:tab w:val="right" w:leader="dot" w:pos="9016"/>
            </w:tabs>
            <w:rPr>
              <w:rFonts w:eastAsiaTheme="minorEastAsia"/>
              <w:noProof/>
              <w:lang w:eastAsia="en-GB"/>
            </w:rPr>
          </w:pPr>
          <w:hyperlink w:anchor="_Toc442303838" w:history="1">
            <w:r w:rsidR="009046DC" w:rsidRPr="00836001">
              <w:rPr>
                <w:rStyle w:val="Hyperlink"/>
                <w:noProof/>
              </w:rPr>
              <w:t>2.4.3</w:t>
            </w:r>
            <w:r w:rsidR="009046DC">
              <w:rPr>
                <w:rFonts w:eastAsiaTheme="minorEastAsia"/>
                <w:noProof/>
                <w:lang w:eastAsia="en-GB"/>
              </w:rPr>
              <w:tab/>
            </w:r>
            <w:r w:rsidR="009046DC" w:rsidRPr="00836001">
              <w:rPr>
                <w:rStyle w:val="Hyperlink"/>
                <w:noProof/>
                <w:lang w:eastAsia="en-GB"/>
              </w:rPr>
              <w:t>Activity 2.3:  Integrating methods, measures &amp; good practices to address issues of excess &amp; insufficient reactive nitrogen</w:t>
            </w:r>
            <w:r w:rsidR="009046DC">
              <w:rPr>
                <w:noProof/>
                <w:webHidden/>
              </w:rPr>
              <w:tab/>
            </w:r>
            <w:r w:rsidR="009046DC">
              <w:rPr>
                <w:noProof/>
                <w:webHidden/>
              </w:rPr>
              <w:fldChar w:fldCharType="begin"/>
            </w:r>
            <w:r w:rsidR="009046DC">
              <w:rPr>
                <w:noProof/>
                <w:webHidden/>
              </w:rPr>
              <w:instrText xml:space="preserve"> PAGEREF _Toc442303838 \h </w:instrText>
            </w:r>
            <w:r w:rsidR="009046DC">
              <w:rPr>
                <w:noProof/>
                <w:webHidden/>
              </w:rPr>
            </w:r>
            <w:r w:rsidR="009046DC">
              <w:rPr>
                <w:noProof/>
                <w:webHidden/>
              </w:rPr>
              <w:fldChar w:fldCharType="separate"/>
            </w:r>
            <w:r w:rsidR="009046DC">
              <w:rPr>
                <w:noProof/>
                <w:webHidden/>
              </w:rPr>
              <w:t>22</w:t>
            </w:r>
            <w:r w:rsidR="009046DC">
              <w:rPr>
                <w:noProof/>
                <w:webHidden/>
              </w:rPr>
              <w:fldChar w:fldCharType="end"/>
            </w:r>
          </w:hyperlink>
        </w:p>
        <w:p w14:paraId="20F382F4" w14:textId="77777777" w:rsidR="009046DC" w:rsidRDefault="00D2541A">
          <w:pPr>
            <w:pStyle w:val="TOC3"/>
            <w:tabs>
              <w:tab w:val="left" w:pos="1320"/>
              <w:tab w:val="right" w:leader="dot" w:pos="9016"/>
            </w:tabs>
            <w:rPr>
              <w:rFonts w:eastAsiaTheme="minorEastAsia"/>
              <w:noProof/>
              <w:lang w:eastAsia="en-GB"/>
            </w:rPr>
          </w:pPr>
          <w:hyperlink w:anchor="_Toc442303839" w:history="1">
            <w:r w:rsidR="009046DC" w:rsidRPr="00836001">
              <w:rPr>
                <w:rStyle w:val="Hyperlink"/>
                <w:noProof/>
              </w:rPr>
              <w:t>2.4.4</w:t>
            </w:r>
            <w:r w:rsidR="009046DC">
              <w:rPr>
                <w:rFonts w:eastAsiaTheme="minorEastAsia"/>
                <w:noProof/>
                <w:lang w:eastAsia="en-GB"/>
              </w:rPr>
              <w:tab/>
            </w:r>
            <w:r w:rsidR="009046DC" w:rsidRPr="00836001">
              <w:rPr>
                <w:rStyle w:val="Hyperlink"/>
                <w:noProof/>
                <w:lang w:eastAsia="en-GB"/>
              </w:rPr>
              <w:t>Activity 2.4:  Exploration of future N storylines &amp; scenarios with management/ mitigation options &amp; cost-benefit analysis</w:t>
            </w:r>
            <w:r w:rsidR="009046DC">
              <w:rPr>
                <w:noProof/>
                <w:webHidden/>
              </w:rPr>
              <w:tab/>
            </w:r>
            <w:r w:rsidR="009046DC">
              <w:rPr>
                <w:noProof/>
                <w:webHidden/>
              </w:rPr>
              <w:fldChar w:fldCharType="begin"/>
            </w:r>
            <w:r w:rsidR="009046DC">
              <w:rPr>
                <w:noProof/>
                <w:webHidden/>
              </w:rPr>
              <w:instrText xml:space="preserve"> PAGEREF _Toc442303839 \h </w:instrText>
            </w:r>
            <w:r w:rsidR="009046DC">
              <w:rPr>
                <w:noProof/>
                <w:webHidden/>
              </w:rPr>
            </w:r>
            <w:r w:rsidR="009046DC">
              <w:rPr>
                <w:noProof/>
                <w:webHidden/>
              </w:rPr>
              <w:fldChar w:fldCharType="separate"/>
            </w:r>
            <w:r w:rsidR="009046DC">
              <w:rPr>
                <w:noProof/>
                <w:webHidden/>
              </w:rPr>
              <w:t>27</w:t>
            </w:r>
            <w:r w:rsidR="009046DC">
              <w:rPr>
                <w:noProof/>
                <w:webHidden/>
              </w:rPr>
              <w:fldChar w:fldCharType="end"/>
            </w:r>
          </w:hyperlink>
        </w:p>
        <w:p w14:paraId="38F3926C" w14:textId="77777777" w:rsidR="009046DC" w:rsidRDefault="00D2541A">
          <w:pPr>
            <w:pStyle w:val="TOC3"/>
            <w:tabs>
              <w:tab w:val="left" w:pos="1320"/>
              <w:tab w:val="right" w:leader="dot" w:pos="9016"/>
            </w:tabs>
            <w:rPr>
              <w:rFonts w:eastAsiaTheme="minorEastAsia"/>
              <w:noProof/>
              <w:lang w:eastAsia="en-GB"/>
            </w:rPr>
          </w:pPr>
          <w:hyperlink w:anchor="_Toc442303840" w:history="1">
            <w:r w:rsidR="009046DC" w:rsidRPr="00836001">
              <w:rPr>
                <w:rStyle w:val="Hyperlink"/>
                <w:noProof/>
              </w:rPr>
              <w:t>2.4.5</w:t>
            </w:r>
            <w:r w:rsidR="009046DC">
              <w:rPr>
                <w:rFonts w:eastAsiaTheme="minorEastAsia"/>
                <w:noProof/>
                <w:lang w:eastAsia="en-GB"/>
              </w:rPr>
              <w:tab/>
            </w:r>
            <w:r w:rsidR="009046DC" w:rsidRPr="00836001">
              <w:rPr>
                <w:rStyle w:val="Hyperlink"/>
                <w:noProof/>
                <w:lang w:eastAsia="en-GB"/>
              </w:rPr>
              <w:t>Activity 2.5:  Collation &amp; synthesis of knowledge, experience &amp; measures adopted by GEF and others on excess &amp; insufficient reactive nitrogen</w:t>
            </w:r>
            <w:r w:rsidR="009046DC">
              <w:rPr>
                <w:noProof/>
                <w:webHidden/>
              </w:rPr>
              <w:tab/>
            </w:r>
            <w:r w:rsidR="009046DC">
              <w:rPr>
                <w:noProof/>
                <w:webHidden/>
              </w:rPr>
              <w:fldChar w:fldCharType="begin"/>
            </w:r>
            <w:r w:rsidR="009046DC">
              <w:rPr>
                <w:noProof/>
                <w:webHidden/>
              </w:rPr>
              <w:instrText xml:space="preserve"> PAGEREF _Toc442303840 \h </w:instrText>
            </w:r>
            <w:r w:rsidR="009046DC">
              <w:rPr>
                <w:noProof/>
                <w:webHidden/>
              </w:rPr>
            </w:r>
            <w:r w:rsidR="009046DC">
              <w:rPr>
                <w:noProof/>
                <w:webHidden/>
              </w:rPr>
              <w:fldChar w:fldCharType="separate"/>
            </w:r>
            <w:r w:rsidR="009046DC">
              <w:rPr>
                <w:noProof/>
                <w:webHidden/>
              </w:rPr>
              <w:t>31</w:t>
            </w:r>
            <w:r w:rsidR="009046DC">
              <w:rPr>
                <w:noProof/>
                <w:webHidden/>
              </w:rPr>
              <w:fldChar w:fldCharType="end"/>
            </w:r>
          </w:hyperlink>
        </w:p>
        <w:p w14:paraId="73451385" w14:textId="77777777" w:rsidR="009046DC" w:rsidRDefault="00D2541A">
          <w:pPr>
            <w:pStyle w:val="TOC2"/>
            <w:tabs>
              <w:tab w:val="left" w:pos="880"/>
              <w:tab w:val="right" w:leader="dot" w:pos="9016"/>
            </w:tabs>
            <w:rPr>
              <w:rFonts w:eastAsiaTheme="minorEastAsia"/>
              <w:noProof/>
              <w:lang w:eastAsia="en-GB"/>
            </w:rPr>
          </w:pPr>
          <w:hyperlink w:anchor="_Toc442303841" w:history="1">
            <w:r w:rsidR="009046DC" w:rsidRPr="00836001">
              <w:rPr>
                <w:rStyle w:val="Hyperlink"/>
                <w:noProof/>
              </w:rPr>
              <w:t>2.5</w:t>
            </w:r>
            <w:r w:rsidR="009046DC">
              <w:rPr>
                <w:rFonts w:eastAsiaTheme="minorEastAsia"/>
                <w:noProof/>
                <w:lang w:eastAsia="en-GB"/>
              </w:rPr>
              <w:tab/>
            </w:r>
            <w:r w:rsidR="009046DC" w:rsidRPr="00836001">
              <w:rPr>
                <w:rStyle w:val="Hyperlink"/>
                <w:noProof/>
              </w:rPr>
              <w:t>Budget</w:t>
            </w:r>
            <w:r w:rsidR="009046DC">
              <w:rPr>
                <w:noProof/>
                <w:webHidden/>
              </w:rPr>
              <w:tab/>
            </w:r>
            <w:r w:rsidR="009046DC">
              <w:rPr>
                <w:noProof/>
                <w:webHidden/>
              </w:rPr>
              <w:fldChar w:fldCharType="begin"/>
            </w:r>
            <w:r w:rsidR="009046DC">
              <w:rPr>
                <w:noProof/>
                <w:webHidden/>
              </w:rPr>
              <w:instrText xml:space="preserve"> PAGEREF _Toc442303841 \h </w:instrText>
            </w:r>
            <w:r w:rsidR="009046DC">
              <w:rPr>
                <w:noProof/>
                <w:webHidden/>
              </w:rPr>
            </w:r>
            <w:r w:rsidR="009046DC">
              <w:rPr>
                <w:noProof/>
                <w:webHidden/>
              </w:rPr>
              <w:fldChar w:fldCharType="separate"/>
            </w:r>
            <w:r w:rsidR="009046DC">
              <w:rPr>
                <w:noProof/>
                <w:webHidden/>
              </w:rPr>
              <w:t>33</w:t>
            </w:r>
            <w:r w:rsidR="009046DC">
              <w:rPr>
                <w:noProof/>
                <w:webHidden/>
              </w:rPr>
              <w:fldChar w:fldCharType="end"/>
            </w:r>
          </w:hyperlink>
        </w:p>
        <w:p w14:paraId="3C0AD0CC" w14:textId="77777777" w:rsidR="009046DC" w:rsidRDefault="00D2541A">
          <w:pPr>
            <w:pStyle w:val="TOC3"/>
            <w:tabs>
              <w:tab w:val="left" w:pos="1320"/>
              <w:tab w:val="right" w:leader="dot" w:pos="9016"/>
            </w:tabs>
            <w:rPr>
              <w:rFonts w:eastAsiaTheme="minorEastAsia"/>
              <w:noProof/>
              <w:lang w:eastAsia="en-GB"/>
            </w:rPr>
          </w:pPr>
          <w:hyperlink w:anchor="_Toc442303842" w:history="1">
            <w:r w:rsidR="009046DC" w:rsidRPr="00836001">
              <w:rPr>
                <w:rStyle w:val="Hyperlink"/>
                <w:noProof/>
              </w:rPr>
              <w:t>2.5.1</w:t>
            </w:r>
            <w:r w:rsidR="009046DC">
              <w:rPr>
                <w:rFonts w:eastAsiaTheme="minorEastAsia"/>
                <w:noProof/>
                <w:lang w:eastAsia="en-GB"/>
              </w:rPr>
              <w:tab/>
            </w:r>
            <w:r w:rsidR="009046DC" w:rsidRPr="00836001">
              <w:rPr>
                <w:rStyle w:val="Hyperlink"/>
                <w:noProof/>
              </w:rPr>
              <w:t>GEF Budget</w:t>
            </w:r>
            <w:r w:rsidR="009046DC">
              <w:rPr>
                <w:noProof/>
                <w:webHidden/>
              </w:rPr>
              <w:tab/>
            </w:r>
            <w:r w:rsidR="009046DC">
              <w:rPr>
                <w:noProof/>
                <w:webHidden/>
              </w:rPr>
              <w:fldChar w:fldCharType="begin"/>
            </w:r>
            <w:r w:rsidR="009046DC">
              <w:rPr>
                <w:noProof/>
                <w:webHidden/>
              </w:rPr>
              <w:instrText xml:space="preserve"> PAGEREF _Toc442303842 \h </w:instrText>
            </w:r>
            <w:r w:rsidR="009046DC">
              <w:rPr>
                <w:noProof/>
                <w:webHidden/>
              </w:rPr>
            </w:r>
            <w:r w:rsidR="009046DC">
              <w:rPr>
                <w:noProof/>
                <w:webHidden/>
              </w:rPr>
              <w:fldChar w:fldCharType="separate"/>
            </w:r>
            <w:r w:rsidR="009046DC">
              <w:rPr>
                <w:noProof/>
                <w:webHidden/>
              </w:rPr>
              <w:t>33</w:t>
            </w:r>
            <w:r w:rsidR="009046DC">
              <w:rPr>
                <w:noProof/>
                <w:webHidden/>
              </w:rPr>
              <w:fldChar w:fldCharType="end"/>
            </w:r>
          </w:hyperlink>
        </w:p>
        <w:p w14:paraId="05F90924" w14:textId="77777777" w:rsidR="009046DC" w:rsidRDefault="00D2541A">
          <w:pPr>
            <w:pStyle w:val="TOC3"/>
            <w:tabs>
              <w:tab w:val="left" w:pos="1320"/>
              <w:tab w:val="right" w:leader="dot" w:pos="9016"/>
            </w:tabs>
            <w:rPr>
              <w:rFonts w:eastAsiaTheme="minorEastAsia"/>
              <w:noProof/>
              <w:lang w:eastAsia="en-GB"/>
            </w:rPr>
          </w:pPr>
          <w:hyperlink w:anchor="_Toc442303843" w:history="1">
            <w:r w:rsidR="009046DC" w:rsidRPr="00836001">
              <w:rPr>
                <w:rStyle w:val="Hyperlink"/>
                <w:noProof/>
              </w:rPr>
              <w:t>2.5.2</w:t>
            </w:r>
            <w:r w:rsidR="009046DC">
              <w:rPr>
                <w:rFonts w:eastAsiaTheme="minorEastAsia"/>
                <w:noProof/>
                <w:lang w:eastAsia="en-GB"/>
              </w:rPr>
              <w:tab/>
            </w:r>
            <w:r w:rsidR="009046DC" w:rsidRPr="00836001">
              <w:rPr>
                <w:rStyle w:val="Hyperlink"/>
                <w:noProof/>
              </w:rPr>
              <w:t>Co-financing</w:t>
            </w:r>
            <w:r w:rsidR="009046DC">
              <w:rPr>
                <w:noProof/>
                <w:webHidden/>
              </w:rPr>
              <w:tab/>
            </w:r>
            <w:r w:rsidR="009046DC">
              <w:rPr>
                <w:noProof/>
                <w:webHidden/>
              </w:rPr>
              <w:fldChar w:fldCharType="begin"/>
            </w:r>
            <w:r w:rsidR="009046DC">
              <w:rPr>
                <w:noProof/>
                <w:webHidden/>
              </w:rPr>
              <w:instrText xml:space="preserve"> PAGEREF _Toc442303843 \h </w:instrText>
            </w:r>
            <w:r w:rsidR="009046DC">
              <w:rPr>
                <w:noProof/>
                <w:webHidden/>
              </w:rPr>
            </w:r>
            <w:r w:rsidR="009046DC">
              <w:rPr>
                <w:noProof/>
                <w:webHidden/>
              </w:rPr>
              <w:fldChar w:fldCharType="separate"/>
            </w:r>
            <w:r w:rsidR="009046DC">
              <w:rPr>
                <w:noProof/>
                <w:webHidden/>
              </w:rPr>
              <w:t>36</w:t>
            </w:r>
            <w:r w:rsidR="009046DC">
              <w:rPr>
                <w:noProof/>
                <w:webHidden/>
              </w:rPr>
              <w:fldChar w:fldCharType="end"/>
            </w:r>
          </w:hyperlink>
        </w:p>
        <w:p w14:paraId="3DE05430" w14:textId="77777777" w:rsidR="009046DC" w:rsidRDefault="00D2541A">
          <w:pPr>
            <w:pStyle w:val="TOC2"/>
            <w:tabs>
              <w:tab w:val="left" w:pos="880"/>
              <w:tab w:val="right" w:leader="dot" w:pos="9016"/>
            </w:tabs>
            <w:rPr>
              <w:rFonts w:eastAsiaTheme="minorEastAsia"/>
              <w:noProof/>
              <w:lang w:eastAsia="en-GB"/>
            </w:rPr>
          </w:pPr>
          <w:hyperlink w:anchor="_Toc442303844" w:history="1">
            <w:r w:rsidR="009046DC" w:rsidRPr="00836001">
              <w:rPr>
                <w:rStyle w:val="Hyperlink"/>
                <w:noProof/>
              </w:rPr>
              <w:t>2.6</w:t>
            </w:r>
            <w:r w:rsidR="009046DC">
              <w:rPr>
                <w:rFonts w:eastAsiaTheme="minorEastAsia"/>
                <w:noProof/>
                <w:lang w:eastAsia="en-GB"/>
              </w:rPr>
              <w:tab/>
            </w:r>
            <w:r w:rsidR="009046DC" w:rsidRPr="00836001">
              <w:rPr>
                <w:rStyle w:val="Hyperlink"/>
                <w:noProof/>
              </w:rPr>
              <w:t>Component work-plan and timeline</w:t>
            </w:r>
            <w:r w:rsidR="009046DC">
              <w:rPr>
                <w:noProof/>
                <w:webHidden/>
              </w:rPr>
              <w:tab/>
            </w:r>
            <w:r w:rsidR="009046DC">
              <w:rPr>
                <w:noProof/>
                <w:webHidden/>
              </w:rPr>
              <w:fldChar w:fldCharType="begin"/>
            </w:r>
            <w:r w:rsidR="009046DC">
              <w:rPr>
                <w:noProof/>
                <w:webHidden/>
              </w:rPr>
              <w:instrText xml:space="preserve"> PAGEREF _Toc442303844 \h </w:instrText>
            </w:r>
            <w:r w:rsidR="009046DC">
              <w:rPr>
                <w:noProof/>
                <w:webHidden/>
              </w:rPr>
            </w:r>
            <w:r w:rsidR="009046DC">
              <w:rPr>
                <w:noProof/>
                <w:webHidden/>
              </w:rPr>
              <w:fldChar w:fldCharType="separate"/>
            </w:r>
            <w:r w:rsidR="009046DC">
              <w:rPr>
                <w:noProof/>
                <w:webHidden/>
              </w:rPr>
              <w:t>36</w:t>
            </w:r>
            <w:r w:rsidR="009046DC">
              <w:rPr>
                <w:noProof/>
                <w:webHidden/>
              </w:rPr>
              <w:fldChar w:fldCharType="end"/>
            </w:r>
          </w:hyperlink>
        </w:p>
        <w:p w14:paraId="620A926C" w14:textId="77777777" w:rsidR="009046DC" w:rsidRDefault="00D2541A">
          <w:pPr>
            <w:pStyle w:val="TOC3"/>
            <w:tabs>
              <w:tab w:val="left" w:pos="1320"/>
              <w:tab w:val="right" w:leader="dot" w:pos="9016"/>
            </w:tabs>
            <w:rPr>
              <w:rFonts w:eastAsiaTheme="minorEastAsia"/>
              <w:noProof/>
              <w:lang w:eastAsia="en-GB"/>
            </w:rPr>
          </w:pPr>
          <w:hyperlink w:anchor="_Toc442303845" w:history="1">
            <w:r w:rsidR="009046DC" w:rsidRPr="00836001">
              <w:rPr>
                <w:rStyle w:val="Hyperlink"/>
                <w:noProof/>
              </w:rPr>
              <w:t>2.6.1</w:t>
            </w:r>
            <w:r w:rsidR="009046DC">
              <w:rPr>
                <w:rFonts w:eastAsiaTheme="minorEastAsia"/>
                <w:noProof/>
                <w:lang w:eastAsia="en-GB"/>
              </w:rPr>
              <w:tab/>
            </w:r>
            <w:r w:rsidR="009046DC" w:rsidRPr="00836001">
              <w:rPr>
                <w:rStyle w:val="Hyperlink"/>
                <w:noProof/>
              </w:rPr>
              <w:t>Timeline</w:t>
            </w:r>
            <w:r w:rsidR="009046DC">
              <w:rPr>
                <w:noProof/>
                <w:webHidden/>
              </w:rPr>
              <w:tab/>
            </w:r>
            <w:r w:rsidR="009046DC">
              <w:rPr>
                <w:noProof/>
                <w:webHidden/>
              </w:rPr>
              <w:fldChar w:fldCharType="begin"/>
            </w:r>
            <w:r w:rsidR="009046DC">
              <w:rPr>
                <w:noProof/>
                <w:webHidden/>
              </w:rPr>
              <w:instrText xml:space="preserve"> PAGEREF _Toc442303845 \h </w:instrText>
            </w:r>
            <w:r w:rsidR="009046DC">
              <w:rPr>
                <w:noProof/>
                <w:webHidden/>
              </w:rPr>
            </w:r>
            <w:r w:rsidR="009046DC">
              <w:rPr>
                <w:noProof/>
                <w:webHidden/>
              </w:rPr>
              <w:fldChar w:fldCharType="separate"/>
            </w:r>
            <w:r w:rsidR="009046DC">
              <w:rPr>
                <w:noProof/>
                <w:webHidden/>
              </w:rPr>
              <w:t>36</w:t>
            </w:r>
            <w:r w:rsidR="009046DC">
              <w:rPr>
                <w:noProof/>
                <w:webHidden/>
              </w:rPr>
              <w:fldChar w:fldCharType="end"/>
            </w:r>
          </w:hyperlink>
        </w:p>
        <w:p w14:paraId="4AA02308" w14:textId="77777777" w:rsidR="009046DC" w:rsidRDefault="00D2541A">
          <w:pPr>
            <w:pStyle w:val="TOC3"/>
            <w:tabs>
              <w:tab w:val="left" w:pos="1320"/>
              <w:tab w:val="right" w:leader="dot" w:pos="9016"/>
            </w:tabs>
            <w:rPr>
              <w:rFonts w:eastAsiaTheme="minorEastAsia"/>
              <w:noProof/>
              <w:lang w:eastAsia="en-GB"/>
            </w:rPr>
          </w:pPr>
          <w:hyperlink w:anchor="_Toc442303846" w:history="1">
            <w:r w:rsidR="009046DC" w:rsidRPr="00836001">
              <w:rPr>
                <w:rStyle w:val="Hyperlink"/>
                <w:noProof/>
              </w:rPr>
              <w:t>2.6.2</w:t>
            </w:r>
            <w:r w:rsidR="009046DC">
              <w:rPr>
                <w:rFonts w:eastAsiaTheme="minorEastAsia"/>
                <w:noProof/>
                <w:lang w:eastAsia="en-GB"/>
              </w:rPr>
              <w:tab/>
            </w:r>
            <w:r w:rsidR="009046DC" w:rsidRPr="00836001">
              <w:rPr>
                <w:rStyle w:val="Hyperlink"/>
                <w:noProof/>
              </w:rPr>
              <w:t>Activity Work-plans</w:t>
            </w:r>
            <w:r w:rsidR="009046DC">
              <w:rPr>
                <w:noProof/>
                <w:webHidden/>
              </w:rPr>
              <w:tab/>
            </w:r>
            <w:r w:rsidR="009046DC">
              <w:rPr>
                <w:noProof/>
                <w:webHidden/>
              </w:rPr>
              <w:fldChar w:fldCharType="begin"/>
            </w:r>
            <w:r w:rsidR="009046DC">
              <w:rPr>
                <w:noProof/>
                <w:webHidden/>
              </w:rPr>
              <w:instrText xml:space="preserve"> PAGEREF _Toc442303846 \h </w:instrText>
            </w:r>
            <w:r w:rsidR="009046DC">
              <w:rPr>
                <w:noProof/>
                <w:webHidden/>
              </w:rPr>
            </w:r>
            <w:r w:rsidR="009046DC">
              <w:rPr>
                <w:noProof/>
                <w:webHidden/>
              </w:rPr>
              <w:fldChar w:fldCharType="separate"/>
            </w:r>
            <w:r w:rsidR="009046DC">
              <w:rPr>
                <w:noProof/>
                <w:webHidden/>
              </w:rPr>
              <w:t>36</w:t>
            </w:r>
            <w:r w:rsidR="009046DC">
              <w:rPr>
                <w:noProof/>
                <w:webHidden/>
              </w:rPr>
              <w:fldChar w:fldCharType="end"/>
            </w:r>
          </w:hyperlink>
        </w:p>
        <w:p w14:paraId="7C6CD606" w14:textId="77777777" w:rsidR="009046DC" w:rsidRDefault="00D2541A">
          <w:pPr>
            <w:pStyle w:val="TOC2"/>
            <w:tabs>
              <w:tab w:val="left" w:pos="880"/>
              <w:tab w:val="right" w:leader="dot" w:pos="9016"/>
            </w:tabs>
            <w:rPr>
              <w:rFonts w:eastAsiaTheme="minorEastAsia"/>
              <w:noProof/>
              <w:lang w:eastAsia="en-GB"/>
            </w:rPr>
          </w:pPr>
          <w:hyperlink w:anchor="_Toc442303847" w:history="1">
            <w:r w:rsidR="009046DC" w:rsidRPr="00836001">
              <w:rPr>
                <w:rStyle w:val="Hyperlink"/>
                <w:noProof/>
              </w:rPr>
              <w:t>2.7</w:t>
            </w:r>
            <w:r w:rsidR="009046DC">
              <w:rPr>
                <w:rFonts w:eastAsiaTheme="minorEastAsia"/>
                <w:noProof/>
                <w:lang w:eastAsia="en-GB"/>
              </w:rPr>
              <w:tab/>
            </w:r>
            <w:r w:rsidR="009046DC" w:rsidRPr="00836001">
              <w:rPr>
                <w:rStyle w:val="Hyperlink"/>
                <w:noProof/>
              </w:rPr>
              <w:t>Execution arrangements</w:t>
            </w:r>
            <w:r w:rsidR="009046DC">
              <w:rPr>
                <w:noProof/>
                <w:webHidden/>
              </w:rPr>
              <w:tab/>
            </w:r>
            <w:r w:rsidR="009046DC">
              <w:rPr>
                <w:noProof/>
                <w:webHidden/>
              </w:rPr>
              <w:fldChar w:fldCharType="begin"/>
            </w:r>
            <w:r w:rsidR="009046DC">
              <w:rPr>
                <w:noProof/>
                <w:webHidden/>
              </w:rPr>
              <w:instrText xml:space="preserve"> PAGEREF _Toc442303847 \h </w:instrText>
            </w:r>
            <w:r w:rsidR="009046DC">
              <w:rPr>
                <w:noProof/>
                <w:webHidden/>
              </w:rPr>
            </w:r>
            <w:r w:rsidR="009046DC">
              <w:rPr>
                <w:noProof/>
                <w:webHidden/>
              </w:rPr>
              <w:fldChar w:fldCharType="separate"/>
            </w:r>
            <w:r w:rsidR="009046DC">
              <w:rPr>
                <w:noProof/>
                <w:webHidden/>
              </w:rPr>
              <w:t>40</w:t>
            </w:r>
            <w:r w:rsidR="009046DC">
              <w:rPr>
                <w:noProof/>
                <w:webHidden/>
              </w:rPr>
              <w:fldChar w:fldCharType="end"/>
            </w:r>
          </w:hyperlink>
        </w:p>
        <w:p w14:paraId="765BA880" w14:textId="77777777" w:rsidR="009046DC" w:rsidRDefault="00D2541A">
          <w:pPr>
            <w:pStyle w:val="TOC2"/>
            <w:tabs>
              <w:tab w:val="left" w:pos="880"/>
              <w:tab w:val="right" w:leader="dot" w:pos="9016"/>
            </w:tabs>
            <w:rPr>
              <w:rFonts w:eastAsiaTheme="minorEastAsia"/>
              <w:noProof/>
              <w:lang w:eastAsia="en-GB"/>
            </w:rPr>
          </w:pPr>
          <w:hyperlink w:anchor="_Toc442303848" w:history="1">
            <w:r w:rsidR="009046DC" w:rsidRPr="00836001">
              <w:rPr>
                <w:rStyle w:val="Hyperlink"/>
                <w:noProof/>
              </w:rPr>
              <w:t>2.8</w:t>
            </w:r>
            <w:r w:rsidR="009046DC">
              <w:rPr>
                <w:rFonts w:eastAsiaTheme="minorEastAsia"/>
                <w:noProof/>
                <w:lang w:eastAsia="en-GB"/>
              </w:rPr>
              <w:tab/>
            </w:r>
            <w:r w:rsidR="009046DC" w:rsidRPr="00836001">
              <w:rPr>
                <w:rStyle w:val="Hyperlink"/>
                <w:noProof/>
              </w:rPr>
              <w:t>Component M&amp;E</w:t>
            </w:r>
            <w:r w:rsidR="009046DC">
              <w:rPr>
                <w:noProof/>
                <w:webHidden/>
              </w:rPr>
              <w:tab/>
            </w:r>
            <w:r w:rsidR="009046DC">
              <w:rPr>
                <w:noProof/>
                <w:webHidden/>
              </w:rPr>
              <w:fldChar w:fldCharType="begin"/>
            </w:r>
            <w:r w:rsidR="009046DC">
              <w:rPr>
                <w:noProof/>
                <w:webHidden/>
              </w:rPr>
              <w:instrText xml:space="preserve"> PAGEREF _Toc442303848 \h </w:instrText>
            </w:r>
            <w:r w:rsidR="009046DC">
              <w:rPr>
                <w:noProof/>
                <w:webHidden/>
              </w:rPr>
            </w:r>
            <w:r w:rsidR="009046DC">
              <w:rPr>
                <w:noProof/>
                <w:webHidden/>
              </w:rPr>
              <w:fldChar w:fldCharType="separate"/>
            </w:r>
            <w:r w:rsidR="009046DC">
              <w:rPr>
                <w:noProof/>
                <w:webHidden/>
              </w:rPr>
              <w:t>40</w:t>
            </w:r>
            <w:r w:rsidR="009046DC">
              <w:rPr>
                <w:noProof/>
                <w:webHidden/>
              </w:rPr>
              <w:fldChar w:fldCharType="end"/>
            </w:r>
          </w:hyperlink>
        </w:p>
        <w:p w14:paraId="355C2E50" w14:textId="77777777" w:rsidR="009046DC" w:rsidRDefault="00D2541A">
          <w:pPr>
            <w:pStyle w:val="TOC1"/>
            <w:tabs>
              <w:tab w:val="right" w:leader="dot" w:pos="9016"/>
            </w:tabs>
            <w:rPr>
              <w:rFonts w:eastAsiaTheme="minorEastAsia"/>
              <w:noProof/>
              <w:lang w:eastAsia="en-GB"/>
            </w:rPr>
          </w:pPr>
          <w:hyperlink w:anchor="_Toc442303849" w:history="1">
            <w:r w:rsidR="009046DC" w:rsidRPr="00836001">
              <w:rPr>
                <w:rStyle w:val="Hyperlink"/>
                <w:noProof/>
              </w:rPr>
              <w:t>Annex 1 – Component Results Framework</w:t>
            </w:r>
            <w:r w:rsidR="009046DC">
              <w:rPr>
                <w:noProof/>
                <w:webHidden/>
              </w:rPr>
              <w:tab/>
            </w:r>
            <w:r w:rsidR="009046DC">
              <w:rPr>
                <w:noProof/>
                <w:webHidden/>
              </w:rPr>
              <w:fldChar w:fldCharType="begin"/>
            </w:r>
            <w:r w:rsidR="009046DC">
              <w:rPr>
                <w:noProof/>
                <w:webHidden/>
              </w:rPr>
              <w:instrText xml:space="preserve"> PAGEREF _Toc442303849 \h </w:instrText>
            </w:r>
            <w:r w:rsidR="009046DC">
              <w:rPr>
                <w:noProof/>
                <w:webHidden/>
              </w:rPr>
            </w:r>
            <w:r w:rsidR="009046DC">
              <w:rPr>
                <w:noProof/>
                <w:webHidden/>
              </w:rPr>
              <w:fldChar w:fldCharType="separate"/>
            </w:r>
            <w:r w:rsidR="009046DC">
              <w:rPr>
                <w:noProof/>
                <w:webHidden/>
              </w:rPr>
              <w:t>44</w:t>
            </w:r>
            <w:r w:rsidR="009046DC">
              <w:rPr>
                <w:noProof/>
                <w:webHidden/>
              </w:rPr>
              <w:fldChar w:fldCharType="end"/>
            </w:r>
          </w:hyperlink>
        </w:p>
        <w:p w14:paraId="2C6977A0" w14:textId="77777777" w:rsidR="009046DC" w:rsidRDefault="00D2541A">
          <w:pPr>
            <w:pStyle w:val="TOC1"/>
            <w:tabs>
              <w:tab w:val="right" w:leader="dot" w:pos="9016"/>
            </w:tabs>
            <w:rPr>
              <w:rFonts w:eastAsiaTheme="minorEastAsia"/>
              <w:noProof/>
              <w:lang w:eastAsia="en-GB"/>
            </w:rPr>
          </w:pPr>
          <w:hyperlink w:anchor="_Toc442303850" w:history="1">
            <w:r w:rsidR="009046DC" w:rsidRPr="00836001">
              <w:rPr>
                <w:rStyle w:val="Hyperlink"/>
                <w:noProof/>
              </w:rPr>
              <w:t>Annex 2 - Terms of Reference for Partners and Consultants</w:t>
            </w:r>
            <w:r w:rsidR="009046DC">
              <w:rPr>
                <w:noProof/>
                <w:webHidden/>
              </w:rPr>
              <w:tab/>
            </w:r>
            <w:r w:rsidR="009046DC">
              <w:rPr>
                <w:noProof/>
                <w:webHidden/>
              </w:rPr>
              <w:fldChar w:fldCharType="begin"/>
            </w:r>
            <w:r w:rsidR="009046DC">
              <w:rPr>
                <w:noProof/>
                <w:webHidden/>
              </w:rPr>
              <w:instrText xml:space="preserve"> PAGEREF _Toc442303850 \h </w:instrText>
            </w:r>
            <w:r w:rsidR="009046DC">
              <w:rPr>
                <w:noProof/>
                <w:webHidden/>
              </w:rPr>
            </w:r>
            <w:r w:rsidR="009046DC">
              <w:rPr>
                <w:noProof/>
                <w:webHidden/>
              </w:rPr>
              <w:fldChar w:fldCharType="separate"/>
            </w:r>
            <w:r w:rsidR="009046DC">
              <w:rPr>
                <w:noProof/>
                <w:webHidden/>
              </w:rPr>
              <w:t>46</w:t>
            </w:r>
            <w:r w:rsidR="009046DC">
              <w:rPr>
                <w:noProof/>
                <w:webHidden/>
              </w:rPr>
              <w:fldChar w:fldCharType="end"/>
            </w:r>
          </w:hyperlink>
        </w:p>
        <w:p w14:paraId="63055099" w14:textId="77777777" w:rsidR="00FC13B6" w:rsidRDefault="00FC13B6">
          <w:r>
            <w:rPr>
              <w:b/>
              <w:bCs/>
              <w:noProof/>
            </w:rPr>
            <w:fldChar w:fldCharType="end"/>
          </w:r>
        </w:p>
      </w:sdtContent>
    </w:sdt>
    <w:p w14:paraId="5DF1D7A5" w14:textId="77777777" w:rsidR="007D78E2" w:rsidRDefault="007D78E2" w:rsidP="007D78E2">
      <w:pPr>
        <w:rPr>
          <w:lang w:val="en-US"/>
        </w:rPr>
      </w:pPr>
    </w:p>
    <w:p w14:paraId="1BFD015A" w14:textId="3455B5B9" w:rsidR="001721F2" w:rsidRDefault="001721F2" w:rsidP="007D78E2">
      <w:pPr>
        <w:rPr>
          <w:lang w:val="en-US"/>
        </w:rPr>
      </w:pPr>
      <w:r>
        <w:rPr>
          <w:lang w:val="en-US"/>
        </w:rPr>
        <w:t>Mission Statement</w:t>
      </w:r>
    </w:p>
    <w:p w14:paraId="59CEBA82" w14:textId="4C9A8782" w:rsidR="001721F2" w:rsidRPr="007D78E2" w:rsidRDefault="001721F2" w:rsidP="007D78E2">
      <w:pPr>
        <w:rPr>
          <w:lang w:val="en-US"/>
        </w:rPr>
        <w:sectPr w:rsidR="001721F2" w:rsidRPr="007D78E2">
          <w:pgSz w:w="11906" w:h="16838"/>
          <w:pgMar w:top="1440" w:right="1440" w:bottom="1440" w:left="1440" w:header="708" w:footer="708" w:gutter="0"/>
          <w:cols w:space="708"/>
          <w:docGrid w:linePitch="360"/>
        </w:sectPr>
      </w:pPr>
      <w:r w:rsidRPr="001721F2">
        <w:rPr>
          <w:lang w:val="en-US"/>
        </w:rPr>
        <w:lastRenderedPageBreak/>
        <w:t>“To improve the understanding of the global and regional N cycle and investigate practices and policies to maximise sustainable production of food, goods and energy while reducing negative impacts of reactive nitrogen on the environment and human health.”</w:t>
      </w:r>
    </w:p>
    <w:p w14:paraId="21EABB85" w14:textId="4D3675FF" w:rsidR="007D78E2" w:rsidRDefault="004C34C5" w:rsidP="007D78E2">
      <w:pPr>
        <w:pStyle w:val="Heading1"/>
      </w:pPr>
      <w:bookmarkStart w:id="0" w:name="_Toc442303825"/>
      <w:r>
        <w:lastRenderedPageBreak/>
        <w:t>Component Identification</w:t>
      </w:r>
      <w:bookmarkEnd w:id="0"/>
    </w:p>
    <w:p w14:paraId="593E0F73" w14:textId="77777777" w:rsidR="004C34C5" w:rsidRDefault="004C34C5" w:rsidP="004C34C5"/>
    <w:p w14:paraId="3CE3A218" w14:textId="56B0F431" w:rsidR="004C34C5" w:rsidRDefault="004C34C5" w:rsidP="00415B28">
      <w:pPr>
        <w:pStyle w:val="Heading2"/>
      </w:pPr>
      <w:bookmarkStart w:id="1" w:name="_Toc442303826"/>
      <w:r>
        <w:t>Component Summary</w:t>
      </w:r>
      <w:bookmarkEnd w:id="1"/>
    </w:p>
    <w:p w14:paraId="758A5377" w14:textId="77777777" w:rsidR="004C34C5" w:rsidRDefault="004C34C5" w:rsidP="004C34C5"/>
    <w:p w14:paraId="54E37F7C" w14:textId="7B2BE8B3" w:rsidR="00415B28" w:rsidRDefault="00415B28" w:rsidP="004C34C5">
      <w:r>
        <w:t>The aim of this component is to apply tools, methods and data to synthesize knowledge on nitrogen flows, threats and benefits in the context of the global nitrogen cycle.  It will apply key inputs in the form of tools and methods developed in Component 1, together with outcomes from the regional demonstration activities of Component 3, to anal</w:t>
      </w:r>
      <w:r w:rsidR="002820B9">
        <w:t>y</w:t>
      </w:r>
      <w:r w:rsidR="002C5D1A">
        <w:t>s</w:t>
      </w:r>
      <w:r w:rsidR="002820B9">
        <w:t xml:space="preserve">e the current status of N flows, threats and benefits.  While the first target is the global scale, it will necessarily use the regional activities to illustrate regional variation in context as well as the possible solutions.  </w:t>
      </w:r>
      <w:r w:rsidR="002D43A4">
        <w:t>O</w:t>
      </w:r>
      <w:r w:rsidR="002820B9">
        <w:t xml:space="preserve">ptions for improved nitrogen management in different contexts </w:t>
      </w:r>
      <w:r w:rsidR="002D43A4">
        <w:t>will consider</w:t>
      </w:r>
      <w:r w:rsidR="002820B9">
        <w:t xml:space="preserve"> the multiple benefits</w:t>
      </w:r>
      <w:r w:rsidR="002D43A4">
        <w:t>,</w:t>
      </w:r>
      <w:r w:rsidR="002820B9">
        <w:t xml:space="preserve"> </w:t>
      </w:r>
      <w:r w:rsidR="002D43A4">
        <w:t xml:space="preserve">linking </w:t>
      </w:r>
      <w:r w:rsidR="002820B9">
        <w:t xml:space="preserve">water, air, greenhouse balance, </w:t>
      </w:r>
      <w:r w:rsidR="002D43A4">
        <w:t>ecosystems and soils, as well as the interactions with food and energy.</w:t>
      </w:r>
      <w:r w:rsidR="002820B9">
        <w:t xml:space="preserve"> These elements will inform the development of storylines and scenarios of different “nitrogen futures” and how these relate to cost-benefit analysis. </w:t>
      </w:r>
      <w:r w:rsidR="002D43A4">
        <w:t xml:space="preserve"> The work will provide key high-</w:t>
      </w:r>
      <w:r w:rsidR="002820B9">
        <w:t xml:space="preserve">level outputs that will support awareness raising and knowledge sharing of Component 4.   </w:t>
      </w:r>
      <w:r w:rsidR="002D43A4">
        <w:t xml:space="preserve">The targeted research of </w:t>
      </w:r>
      <w:r w:rsidR="002820B9">
        <w:t xml:space="preserve">Component 3 therefore </w:t>
      </w:r>
      <w:r w:rsidR="002D43A4">
        <w:t>will help</w:t>
      </w:r>
      <w:r w:rsidR="002820B9">
        <w:t xml:space="preserve"> develop global policy framing </w:t>
      </w:r>
      <w:r w:rsidR="002D43A4">
        <w:t xml:space="preserve">for nitrogen, providing </w:t>
      </w:r>
      <w:r w:rsidR="002820B9">
        <w:t>an improved basis for transformational actions on nitrogen management, globally and regionally.</w:t>
      </w:r>
    </w:p>
    <w:p w14:paraId="399537B6" w14:textId="62271563" w:rsidR="002820B9" w:rsidRDefault="00116119" w:rsidP="004C34C5">
      <w:r>
        <w:t>The main elements are as follows:</w:t>
      </w:r>
    </w:p>
    <w:p w14:paraId="3CD212C6" w14:textId="33D05899" w:rsidR="00116119" w:rsidRDefault="00116119" w:rsidP="004C34C5">
      <w:r>
        <w:t xml:space="preserve">1) </w:t>
      </w:r>
      <w:r w:rsidR="00971771">
        <w:t>Application of a suit</w:t>
      </w:r>
      <w:r w:rsidR="00DE736E">
        <w:t>e</w:t>
      </w:r>
      <w:r w:rsidR="00971771">
        <w:t xml:space="preserve"> of modelling tools to quantify nitrogen flows, threats and benefits at global and regional scales, including developing a shared database of inputs and model outcomes, provision of international support for regional inventory and model development, </w:t>
      </w:r>
      <w:r w:rsidR="002D43A4">
        <w:t xml:space="preserve">and integrated </w:t>
      </w:r>
      <w:r w:rsidR="00971771">
        <w:t xml:space="preserve">analysis </w:t>
      </w:r>
      <w:r w:rsidR="002D43A4">
        <w:t>to quantify</w:t>
      </w:r>
      <w:r w:rsidR="00971771">
        <w:t xml:space="preserve"> present and future threats and benefits. </w:t>
      </w:r>
      <w:bookmarkStart w:id="2" w:name="_GoBack"/>
      <w:bookmarkEnd w:id="2"/>
    </w:p>
    <w:p w14:paraId="42DDAF48" w14:textId="6DAC71AF" w:rsidR="00971771" w:rsidRDefault="00971771" w:rsidP="00971771">
      <w:r>
        <w:t xml:space="preserve">2) </w:t>
      </w:r>
      <w:r w:rsidRPr="00971771">
        <w:t xml:space="preserve">Preparation of </w:t>
      </w:r>
      <w:r>
        <w:t xml:space="preserve">a first </w:t>
      </w:r>
      <w:r w:rsidRPr="00971771">
        <w:t>global assessment of N fluxes, pathways and impacts</w:t>
      </w:r>
      <w:r w:rsidR="002D43A4">
        <w:t>,</w:t>
      </w:r>
      <w:r w:rsidRPr="00971771">
        <w:t xml:space="preserve"> assimilating lessons from the regional demonstrations</w:t>
      </w:r>
      <w:r>
        <w:t>, including</w:t>
      </w:r>
      <w:r w:rsidR="002D43A4">
        <w:t>:</w:t>
      </w:r>
      <w:r>
        <w:t xml:space="preserve"> scoping </w:t>
      </w:r>
      <w:r w:rsidR="002D43A4">
        <w:t xml:space="preserve">the </w:t>
      </w:r>
      <w:r>
        <w:t xml:space="preserve">structure of </w:t>
      </w:r>
      <w:r w:rsidR="002D43A4">
        <w:t xml:space="preserve">the </w:t>
      </w:r>
      <w:r>
        <w:t>consolidated global assessment, commissioning author teams, drafting and peer review, preparation of summary documents and review, publishing and distribut</w:t>
      </w:r>
      <w:r w:rsidR="004430F2">
        <w:t xml:space="preserve">ion of </w:t>
      </w:r>
      <w:r w:rsidR="002D43A4">
        <w:t xml:space="preserve">the </w:t>
      </w:r>
      <w:r w:rsidR="004430F2">
        <w:t xml:space="preserve">consolidated assessment. </w:t>
      </w:r>
      <w:r w:rsidR="002D43A4">
        <w:t xml:space="preserve">The work will </w:t>
      </w:r>
      <w:r w:rsidR="004430F2">
        <w:t>draw on the outcomes of Components 1 and 3, while providing material to support the actions of Component 4.</w:t>
      </w:r>
    </w:p>
    <w:p w14:paraId="1FD87B3A" w14:textId="1B984FB1" w:rsidR="004430F2" w:rsidRDefault="004430F2" w:rsidP="004430F2">
      <w:r>
        <w:t xml:space="preserve">3) Integrating methods, measures and </w:t>
      </w:r>
      <w:r w:rsidRPr="004430F2">
        <w:t xml:space="preserve">good practices to address issues of excess </w:t>
      </w:r>
      <w:r>
        <w:t>and insufficient reactive nitrogen, including preparation of</w:t>
      </w:r>
      <w:r w:rsidR="00D913A9">
        <w:t xml:space="preserve"> a </w:t>
      </w:r>
      <w:r>
        <w:t>doc</w:t>
      </w:r>
      <w:r w:rsidR="002D43A4">
        <w:t>ument on the state-of-the-art for</w:t>
      </w:r>
      <w:r>
        <w:t xml:space="preserve"> good nitrogen management</w:t>
      </w:r>
      <w:r w:rsidR="002D43A4">
        <w:t>,</w:t>
      </w:r>
      <w:r>
        <w:t xml:space="preserve"> considering </w:t>
      </w:r>
      <w:r w:rsidR="002D43A4">
        <w:t xml:space="preserve">different N forms and N effects. It will include workshops </w:t>
      </w:r>
      <w:r>
        <w:t>to develop methods that link good practices for N effects (linked to food, energy, water, a</w:t>
      </w:r>
      <w:r w:rsidR="002D43A4">
        <w:t xml:space="preserve">ir, climate, biodiversity etc) and lead to </w:t>
      </w:r>
      <w:r>
        <w:t xml:space="preserve">preparation </w:t>
      </w:r>
      <w:r w:rsidR="002D43A4">
        <w:t xml:space="preserve">of </w:t>
      </w:r>
      <w:r>
        <w:t>international guidance on approaches for improved management of the nitrogen cycle</w:t>
      </w:r>
      <w:r w:rsidR="002D43A4">
        <w:t>.</w:t>
      </w:r>
    </w:p>
    <w:p w14:paraId="5F524D86" w14:textId="5975D834" w:rsidR="004430F2" w:rsidRDefault="004430F2" w:rsidP="004430F2">
      <w:r>
        <w:t>4) Exp</w:t>
      </w:r>
      <w:r w:rsidR="00D913A9">
        <w:t>loration of future N storylines</w:t>
      </w:r>
      <w:r>
        <w:t xml:space="preserve"> and scenarios with management /mitigation options and cost-benefit analysis, including review of existing N policies for </w:t>
      </w:r>
      <w:r w:rsidR="002D43A4">
        <w:t>different countries and regions and</w:t>
      </w:r>
      <w:r>
        <w:t xml:space="preserve"> review of ex</w:t>
      </w:r>
      <w:r w:rsidR="002D43A4">
        <w:t xml:space="preserve">isting storylines and scenarios. It will </w:t>
      </w:r>
      <w:r>
        <w:t xml:space="preserve">lead to </w:t>
      </w:r>
      <w:r w:rsidR="002D43A4">
        <w:t xml:space="preserve">a </w:t>
      </w:r>
      <w:r>
        <w:t xml:space="preserve">published strategy on scenarios and storylines, </w:t>
      </w:r>
      <w:r w:rsidR="002D43A4">
        <w:t xml:space="preserve">together with </w:t>
      </w:r>
      <w:r>
        <w:t>a r</w:t>
      </w:r>
      <w:r w:rsidR="00B87ABE">
        <w:t>eport on N policy options and</w:t>
      </w:r>
      <w:r w:rsidRPr="004430F2">
        <w:t xml:space="preserve"> their possible contribution to </w:t>
      </w:r>
      <w:r w:rsidR="00B87ABE">
        <w:t xml:space="preserve">development of </w:t>
      </w:r>
      <w:r w:rsidRPr="004430F2">
        <w:t>the Green Economy</w:t>
      </w:r>
      <w:r>
        <w:t xml:space="preserve"> / Circular Economy</w:t>
      </w:r>
      <w:r w:rsidRPr="004430F2">
        <w:t>.</w:t>
      </w:r>
    </w:p>
    <w:p w14:paraId="4B44D926" w14:textId="773568AF" w:rsidR="00BB390F" w:rsidRDefault="00D913A9" w:rsidP="004430F2">
      <w:r>
        <w:t xml:space="preserve">5) Collation and synthesis of the experience of measures for improved nitrogen management as </w:t>
      </w:r>
      <w:r w:rsidR="00BB390F">
        <w:t xml:space="preserve">adopted by GEF and others, including UNEP, OECD, </w:t>
      </w:r>
      <w:r w:rsidR="00717295">
        <w:t>FAO</w:t>
      </w:r>
      <w:r w:rsidR="00BB390F">
        <w:t xml:space="preserve"> etc in </w:t>
      </w:r>
      <w:r>
        <w:t xml:space="preserve">sharing and disseminating success </w:t>
      </w:r>
      <w:r>
        <w:lastRenderedPageBreak/>
        <w:t xml:space="preserve">stories including </w:t>
      </w:r>
      <w:r w:rsidR="00BB390F">
        <w:t xml:space="preserve">lessons learned though case studies at national and local levels.  These case studies will complement and further enhance the Regional Demonstrations of Component 3.  </w:t>
      </w:r>
    </w:p>
    <w:p w14:paraId="18F43190" w14:textId="556F7F55" w:rsidR="00D913A9" w:rsidRPr="004430F2" w:rsidRDefault="00BB390F" w:rsidP="004430F2">
      <w:r>
        <w:t xml:space="preserve">Together the outcomes of these key elements will lead to clear recommendations for stakeholders in food systems, industry and for policy makers at global, national and regional levels, to be disseminated in engagement with Component 4 on awareness raising and knowledge sharing. </w:t>
      </w:r>
    </w:p>
    <w:p w14:paraId="77D1253C" w14:textId="3C4C2F7F" w:rsidR="004430F2" w:rsidRPr="004430F2" w:rsidRDefault="004430F2" w:rsidP="004430F2"/>
    <w:p w14:paraId="5D94CE4C" w14:textId="4A342CAA" w:rsidR="004C34C5" w:rsidRDefault="004C34C5" w:rsidP="00415B28">
      <w:pPr>
        <w:pStyle w:val="Heading2"/>
      </w:pPr>
      <w:bookmarkStart w:id="3" w:name="_Toc442303827"/>
      <w:r>
        <w:t>Links with other Components</w:t>
      </w:r>
      <w:bookmarkEnd w:id="3"/>
    </w:p>
    <w:p w14:paraId="13C8C908" w14:textId="77777777" w:rsidR="0056759C" w:rsidRDefault="0056759C" w:rsidP="004C34C5"/>
    <w:p w14:paraId="4D83F23F" w14:textId="56FDFF74" w:rsidR="0056759C" w:rsidRDefault="0056759C" w:rsidP="0056759C">
      <w:r>
        <w:t>This component draws on outcomes from Components 1, 3 and 4 and in-return provides inputs back to each of these components. Component 1 provides tools and methods for use in Component 2, which in turn support the context development for prioritization of issues/threats/approaches that are needed to inform the tool development. Specifically, A2.2 (global assessment perspective) and A2.3 (guidance for better N management) and A2.4 (future scenarios) will inform on the requirements for model</w:t>
      </w:r>
      <w:r w:rsidR="00B87ABE">
        <w:t xml:space="preserve"> and tool development in A1.5.</w:t>
      </w:r>
      <w:r w:rsidR="00E15D97">
        <w:t xml:space="preserve"> By delivering support for regional inventory and model development (Task 2.1.2)</w:t>
      </w:r>
      <w:r w:rsidR="00B87ABE">
        <w:t>,</w:t>
      </w:r>
      <w:r w:rsidR="00E15D97">
        <w:t xml:space="preserve"> the component will support the regional demonstration work of Component 3, while in turn, the outcomes from the regional demonstrations will inform the development of future scenarios and good practice guidance (A2.4, A2.3)</w:t>
      </w:r>
      <w:r w:rsidR="00B87ABE">
        <w:t>.  At the same time Component 3 will provide</w:t>
      </w:r>
      <w:r w:rsidR="00E15D97">
        <w:t xml:space="preserve"> regional and local case studies for inclusion in the global nitr</w:t>
      </w:r>
      <w:r w:rsidR="00B87ABE">
        <w:t>ogen assessment process (A2.2).</w:t>
      </w:r>
      <w:r w:rsidR="00E15D97">
        <w:t xml:space="preserve"> Component 2 includes activity to collate and synthesise knowledge, experience and measures from previous GEF and other initiatives (A2.5)</w:t>
      </w:r>
      <w:r w:rsidR="00B87ABE">
        <w:t>,</w:t>
      </w:r>
      <w:r w:rsidR="00E15D97">
        <w:t xml:space="preserve"> which will provide material directly relevant to both A2.2 and A2.3 as well as to knowledge sharing and dissemination in Component 4.  Products from Component 2 will be harmonized and disseminated through actions in Component 4, utilizing the publication function of A4.5 and delivering products for use in wider international engagement (A4.3-A4.4), training and diffusion (A4.2). </w:t>
      </w:r>
    </w:p>
    <w:p w14:paraId="29D73A70" w14:textId="77777777" w:rsidR="004430F2" w:rsidRDefault="004430F2" w:rsidP="004C34C5"/>
    <w:p w14:paraId="4EA25AFC" w14:textId="171904AD" w:rsidR="004C34C5" w:rsidRDefault="004C34C5" w:rsidP="004C34C5">
      <w:pPr>
        <w:pStyle w:val="Heading1"/>
      </w:pPr>
      <w:bookmarkStart w:id="4" w:name="_Toc442303828"/>
      <w:r>
        <w:t>Component Design</w:t>
      </w:r>
      <w:bookmarkEnd w:id="4"/>
    </w:p>
    <w:p w14:paraId="6C7672A5" w14:textId="77777777" w:rsidR="004C34C5" w:rsidRDefault="004C34C5" w:rsidP="004C34C5"/>
    <w:p w14:paraId="35D52782" w14:textId="5D826A64" w:rsidR="004C34C5" w:rsidRDefault="004C34C5" w:rsidP="004C34C5">
      <w:pPr>
        <w:pStyle w:val="Heading2"/>
      </w:pPr>
      <w:bookmarkStart w:id="5" w:name="_Toc442303829"/>
      <w:r>
        <w:t>Background and context</w:t>
      </w:r>
      <w:bookmarkEnd w:id="5"/>
    </w:p>
    <w:p w14:paraId="0FBC346C" w14:textId="77777777" w:rsidR="00E42AEF" w:rsidRDefault="00E42AEF" w:rsidP="00E42AEF"/>
    <w:p w14:paraId="39D4ED11" w14:textId="00CC6804" w:rsidR="00A90833" w:rsidRDefault="00E42AEF" w:rsidP="00E42AEF">
      <w:pPr>
        <w:jc w:val="both"/>
        <w:rPr>
          <w:rFonts w:ascii="Calibri" w:hAnsi="Calibri"/>
        </w:rPr>
      </w:pPr>
      <w:r>
        <w:rPr>
          <w:rFonts w:ascii="Calibri" w:hAnsi="Calibri"/>
        </w:rPr>
        <w:t xml:space="preserve">The </w:t>
      </w:r>
      <w:r w:rsidR="00A90833">
        <w:rPr>
          <w:rFonts w:ascii="Calibri" w:hAnsi="Calibri"/>
        </w:rPr>
        <w:t xml:space="preserve">core aim </w:t>
      </w:r>
      <w:r>
        <w:rPr>
          <w:rFonts w:ascii="Calibri" w:hAnsi="Calibri"/>
        </w:rPr>
        <w:t xml:space="preserve">of INMS is to develop </w:t>
      </w:r>
      <w:r w:rsidR="00A90833">
        <w:rPr>
          <w:rFonts w:ascii="Calibri" w:hAnsi="Calibri"/>
        </w:rPr>
        <w:t>the</w:t>
      </w:r>
      <w:r>
        <w:rPr>
          <w:rFonts w:ascii="Calibri" w:hAnsi="Calibri"/>
        </w:rPr>
        <w:t xml:space="preserve"> scientific basis to support international policy development across the nitrogen cycle. </w:t>
      </w:r>
      <w:r w:rsidR="00717295">
        <w:rPr>
          <w:rFonts w:ascii="Calibri" w:hAnsi="Calibri"/>
        </w:rPr>
        <w:t>In addition, it may also</w:t>
      </w:r>
      <w:r w:rsidR="00717295">
        <w:t xml:space="preserve"> contribute to certification in industry, food systems and retail. </w:t>
      </w:r>
      <w:r>
        <w:rPr>
          <w:rFonts w:ascii="Calibri" w:hAnsi="Calibri"/>
        </w:rPr>
        <w:t xml:space="preserve">To date, most efforts have focused on single environmental compartments and issues, such as water, air, climate, ecosystems and soils. </w:t>
      </w:r>
      <w:r w:rsidR="00A90833">
        <w:rPr>
          <w:rFonts w:ascii="Calibri" w:hAnsi="Calibri"/>
        </w:rPr>
        <w:t>The result is that there has been insufficient attent</w:t>
      </w:r>
      <w:r w:rsidR="00B87ABE">
        <w:rPr>
          <w:rFonts w:ascii="Calibri" w:hAnsi="Calibri"/>
        </w:rPr>
        <w:t>ion given to showing how joined-</w:t>
      </w:r>
      <w:r w:rsidR="00A90833">
        <w:rPr>
          <w:rFonts w:ascii="Calibri" w:hAnsi="Calibri"/>
        </w:rPr>
        <w:t>up management of the nitrogen cycle can deliver multiple benefits for food, energy, environment and health, and in doing so help overcome the barriers</w:t>
      </w:r>
      <w:r w:rsidR="00B87ABE">
        <w:rPr>
          <w:rFonts w:ascii="Calibri" w:hAnsi="Calibri"/>
        </w:rPr>
        <w:t>-to-</w:t>
      </w:r>
      <w:r w:rsidR="00A90833">
        <w:rPr>
          <w:rFonts w:ascii="Calibri" w:hAnsi="Calibri"/>
        </w:rPr>
        <w:t>change. To address this challenge requires that existing informa</w:t>
      </w:r>
      <w:r w:rsidR="00B87ABE">
        <w:rPr>
          <w:rFonts w:ascii="Calibri" w:hAnsi="Calibri"/>
        </w:rPr>
        <w:t xml:space="preserve">tion be strongly integrated in </w:t>
      </w:r>
      <w:r w:rsidR="00A90833">
        <w:rPr>
          <w:rFonts w:ascii="Calibri" w:hAnsi="Calibri"/>
        </w:rPr>
        <w:t xml:space="preserve">a process that builds mutual recognition between different sectors of interest (e.g. water, air, climate, health, energy, food etc) and at the same time develops the next generation of global intellectual capacity </w:t>
      </w:r>
      <w:r w:rsidR="00B87ABE">
        <w:rPr>
          <w:rFonts w:ascii="Calibri" w:hAnsi="Calibri"/>
        </w:rPr>
        <w:t xml:space="preserve">needed to work towards </w:t>
      </w:r>
      <w:r w:rsidR="00A90833">
        <w:rPr>
          <w:rFonts w:ascii="Calibri" w:hAnsi="Calibri"/>
        </w:rPr>
        <w:t>a more sustainable world.</w:t>
      </w:r>
    </w:p>
    <w:p w14:paraId="041EED47" w14:textId="1B9DA1C2" w:rsidR="00A90833" w:rsidRDefault="00A90833" w:rsidP="00E42AEF">
      <w:pPr>
        <w:jc w:val="both"/>
        <w:rPr>
          <w:rFonts w:ascii="Calibri" w:hAnsi="Calibri"/>
        </w:rPr>
      </w:pPr>
      <w:r>
        <w:rPr>
          <w:rFonts w:ascii="Calibri" w:hAnsi="Calibri"/>
        </w:rPr>
        <w:t xml:space="preserve">Several key elements are necessary to achieve transformational change at the global scale, while drawing on the contributions of </w:t>
      </w:r>
      <w:r w:rsidR="00B87ABE">
        <w:rPr>
          <w:rFonts w:ascii="Calibri" w:hAnsi="Calibri"/>
        </w:rPr>
        <w:t xml:space="preserve">different </w:t>
      </w:r>
      <w:r>
        <w:rPr>
          <w:rFonts w:ascii="Calibri" w:hAnsi="Calibri"/>
        </w:rPr>
        <w:t>regions:</w:t>
      </w:r>
    </w:p>
    <w:p w14:paraId="49528B80" w14:textId="78E737A6" w:rsidR="00A90833" w:rsidRPr="00BA40A8" w:rsidRDefault="00A90833" w:rsidP="00BA40A8">
      <w:pPr>
        <w:pStyle w:val="ListParagraph"/>
        <w:numPr>
          <w:ilvl w:val="0"/>
          <w:numId w:val="16"/>
        </w:numPr>
        <w:jc w:val="both"/>
        <w:rPr>
          <w:rFonts w:ascii="Calibri" w:hAnsi="Calibri"/>
        </w:rPr>
      </w:pPr>
      <w:r w:rsidRPr="00BA40A8">
        <w:rPr>
          <w:rFonts w:ascii="Calibri" w:hAnsi="Calibri"/>
        </w:rPr>
        <w:lastRenderedPageBreak/>
        <w:t>Advances in nitrogen modelling capability need to be applied to show how sources, inputs and effects of nitrogen vary globally in space and time.</w:t>
      </w:r>
    </w:p>
    <w:p w14:paraId="2AF44AD3" w14:textId="41F29CD5" w:rsidR="00A90833" w:rsidRPr="00BA40A8" w:rsidRDefault="00A90833" w:rsidP="00BA40A8">
      <w:pPr>
        <w:pStyle w:val="ListParagraph"/>
        <w:numPr>
          <w:ilvl w:val="0"/>
          <w:numId w:val="16"/>
        </w:numPr>
        <w:jc w:val="both"/>
        <w:rPr>
          <w:rFonts w:ascii="Calibri" w:hAnsi="Calibri"/>
        </w:rPr>
      </w:pPr>
      <w:r w:rsidRPr="00BA40A8">
        <w:rPr>
          <w:rFonts w:ascii="Calibri" w:hAnsi="Calibri"/>
        </w:rPr>
        <w:t xml:space="preserve">The evidence of nitrogen effects and the outcomes that can be delivered by more joined up nitrogen management </w:t>
      </w:r>
      <w:r w:rsidR="00BA40A8" w:rsidRPr="00BA40A8">
        <w:rPr>
          <w:rFonts w:ascii="Calibri" w:hAnsi="Calibri"/>
        </w:rPr>
        <w:t>need to be synthesized in order to see the bigger picture, identify key priorities and drive the global agenda forward.</w:t>
      </w:r>
    </w:p>
    <w:p w14:paraId="4BA988D1" w14:textId="4682EB37" w:rsidR="00BA40A8" w:rsidRPr="00BA40A8" w:rsidRDefault="00BA40A8" w:rsidP="00BA40A8">
      <w:pPr>
        <w:pStyle w:val="ListParagraph"/>
        <w:numPr>
          <w:ilvl w:val="0"/>
          <w:numId w:val="16"/>
        </w:numPr>
        <w:jc w:val="both"/>
        <w:rPr>
          <w:rFonts w:ascii="Calibri" w:hAnsi="Calibri"/>
        </w:rPr>
      </w:pPr>
      <w:r w:rsidRPr="00BA40A8">
        <w:rPr>
          <w:rFonts w:ascii="Calibri" w:hAnsi="Calibri"/>
        </w:rPr>
        <w:t>Specific actions for better nitrogen management need to be distilled and summarized into readily accessible guidance that can be used by governments, advisory organisations</w:t>
      </w:r>
      <w:r w:rsidR="00B87ABE">
        <w:rPr>
          <w:rFonts w:ascii="Calibri" w:hAnsi="Calibri"/>
        </w:rPr>
        <w:t>,</w:t>
      </w:r>
      <w:r w:rsidRPr="00BA40A8">
        <w:rPr>
          <w:rFonts w:ascii="Calibri" w:hAnsi="Calibri"/>
        </w:rPr>
        <w:t xml:space="preserve"> </w:t>
      </w:r>
      <w:r w:rsidR="00B87ABE">
        <w:rPr>
          <w:rFonts w:ascii="Calibri" w:hAnsi="Calibri"/>
        </w:rPr>
        <w:t xml:space="preserve">and business </w:t>
      </w:r>
      <w:r w:rsidRPr="00BA40A8">
        <w:rPr>
          <w:rFonts w:ascii="Calibri" w:hAnsi="Calibri"/>
        </w:rPr>
        <w:t>managers to take up opportunities for improved nitrogen management.</w:t>
      </w:r>
    </w:p>
    <w:p w14:paraId="6F81D80E" w14:textId="04B40AFF" w:rsidR="00BA40A8" w:rsidRDefault="00523ABA" w:rsidP="00BA40A8">
      <w:pPr>
        <w:pStyle w:val="ListParagraph"/>
        <w:numPr>
          <w:ilvl w:val="0"/>
          <w:numId w:val="16"/>
        </w:numPr>
        <w:jc w:val="both"/>
        <w:rPr>
          <w:rFonts w:ascii="Calibri" w:hAnsi="Calibri"/>
        </w:rPr>
      </w:pPr>
      <w:r>
        <w:rPr>
          <w:rFonts w:ascii="Calibri" w:hAnsi="Calibri"/>
        </w:rPr>
        <w:t>Key stakeholders including policy makers need</w:t>
      </w:r>
      <w:r w:rsidR="00B87ABE">
        <w:rPr>
          <w:rFonts w:ascii="Calibri" w:hAnsi="Calibri"/>
        </w:rPr>
        <w:t xml:space="preserve"> to see what a business-as-</w:t>
      </w:r>
      <w:r w:rsidR="00BA40A8" w:rsidRPr="00BA40A8">
        <w:rPr>
          <w:rFonts w:ascii="Calibri" w:hAnsi="Calibri"/>
        </w:rPr>
        <w:t xml:space="preserve">usual scenario for nitrogen would look like and </w:t>
      </w:r>
      <w:r>
        <w:rPr>
          <w:rFonts w:ascii="Calibri" w:hAnsi="Calibri"/>
        </w:rPr>
        <w:t xml:space="preserve">to understand </w:t>
      </w:r>
      <w:r w:rsidR="00C45FA4">
        <w:rPr>
          <w:rFonts w:ascii="Calibri" w:hAnsi="Calibri"/>
        </w:rPr>
        <w:t xml:space="preserve">how much this picture could be changed by adoption of the </w:t>
      </w:r>
      <w:r w:rsidR="00B87ABE">
        <w:rPr>
          <w:rFonts w:ascii="Calibri" w:hAnsi="Calibri"/>
        </w:rPr>
        <w:t xml:space="preserve">best nitrogen management practices. This calls for the development of robust models that can address </w:t>
      </w:r>
      <w:r w:rsidR="00BA40A8" w:rsidRPr="00BA40A8">
        <w:rPr>
          <w:rFonts w:ascii="Calibri" w:hAnsi="Calibri"/>
        </w:rPr>
        <w:t xml:space="preserve">future storylines and scenarios. </w:t>
      </w:r>
    </w:p>
    <w:p w14:paraId="7D2AE332" w14:textId="44C94595" w:rsidR="00523ABA" w:rsidRPr="00523ABA" w:rsidRDefault="00523ABA" w:rsidP="00523ABA">
      <w:pPr>
        <w:pStyle w:val="ListParagraph"/>
        <w:numPr>
          <w:ilvl w:val="0"/>
          <w:numId w:val="16"/>
        </w:numPr>
        <w:jc w:val="both"/>
        <w:rPr>
          <w:rFonts w:ascii="Calibri" w:hAnsi="Calibri"/>
        </w:rPr>
      </w:pPr>
      <w:r>
        <w:rPr>
          <w:rFonts w:ascii="Calibri" w:hAnsi="Calibri"/>
        </w:rPr>
        <w:t xml:space="preserve">The process needs to integrate actors from different </w:t>
      </w:r>
      <w:r w:rsidRPr="00523ABA">
        <w:rPr>
          <w:rFonts w:ascii="Calibri" w:hAnsi="Calibri"/>
          <w:i/>
        </w:rPr>
        <w:t>sectors</w:t>
      </w:r>
      <w:r>
        <w:rPr>
          <w:rFonts w:ascii="Calibri" w:hAnsi="Calibri"/>
        </w:rPr>
        <w:t xml:space="preserve"> (nitrogen source sectors and users, </w:t>
      </w:r>
      <w:r w:rsidRPr="00523ABA">
        <w:rPr>
          <w:rFonts w:ascii="Calibri" w:hAnsi="Calibri"/>
        </w:rPr>
        <w:t xml:space="preserve">those benefitting from and threatened by nitrogen flows) and </w:t>
      </w:r>
      <w:r w:rsidRPr="00523ABA">
        <w:rPr>
          <w:rFonts w:ascii="Calibri" w:hAnsi="Calibri"/>
          <w:i/>
        </w:rPr>
        <w:t>disciplines</w:t>
      </w:r>
      <w:r w:rsidRPr="00523ABA">
        <w:rPr>
          <w:rFonts w:ascii="Calibri" w:hAnsi="Calibri"/>
        </w:rPr>
        <w:t xml:space="preserve">, ranging from natural and social scientists, resource and business managers, policy analysts and experts in governance systems.  </w:t>
      </w:r>
    </w:p>
    <w:p w14:paraId="52DFB336" w14:textId="2A7A1ACC" w:rsidR="00BA40A8" w:rsidRDefault="00BA40A8" w:rsidP="00BA40A8">
      <w:pPr>
        <w:pStyle w:val="ListParagraph"/>
        <w:numPr>
          <w:ilvl w:val="0"/>
          <w:numId w:val="16"/>
        </w:numPr>
        <w:jc w:val="both"/>
        <w:rPr>
          <w:rFonts w:ascii="Calibri" w:hAnsi="Calibri"/>
        </w:rPr>
      </w:pPr>
      <w:r w:rsidRPr="00BA40A8">
        <w:rPr>
          <w:rFonts w:ascii="Calibri" w:hAnsi="Calibri"/>
        </w:rPr>
        <w:t>Information from GEF and others from a wide range of sources</w:t>
      </w:r>
      <w:r w:rsidR="00523ABA">
        <w:rPr>
          <w:rFonts w:ascii="Calibri" w:hAnsi="Calibri"/>
        </w:rPr>
        <w:t>, including UNEP, OECD, FAO, UNECE and others,</w:t>
      </w:r>
      <w:r w:rsidRPr="00BA40A8">
        <w:rPr>
          <w:rFonts w:ascii="Calibri" w:hAnsi="Calibri"/>
        </w:rPr>
        <w:t xml:space="preserve"> needs to be collated and made into</w:t>
      </w:r>
      <w:r w:rsidR="00523ABA">
        <w:rPr>
          <w:rFonts w:ascii="Calibri" w:hAnsi="Calibri"/>
        </w:rPr>
        <w:t xml:space="preserve"> an </w:t>
      </w:r>
      <w:r w:rsidRPr="00BA40A8">
        <w:rPr>
          <w:rFonts w:ascii="Calibri" w:hAnsi="Calibri"/>
        </w:rPr>
        <w:t xml:space="preserve">accessible form so that it can be best used </w:t>
      </w:r>
      <w:r w:rsidR="00C45FA4">
        <w:rPr>
          <w:rFonts w:ascii="Calibri" w:hAnsi="Calibri"/>
        </w:rPr>
        <w:t>to inform the global synthesis.</w:t>
      </w:r>
    </w:p>
    <w:p w14:paraId="4F0A9219" w14:textId="77777777" w:rsidR="00BA40A8" w:rsidRPr="00BA40A8" w:rsidRDefault="00BA40A8" w:rsidP="00BA40A8">
      <w:pPr>
        <w:pStyle w:val="ListParagraph"/>
        <w:jc w:val="both"/>
        <w:rPr>
          <w:rFonts w:ascii="Calibri" w:hAnsi="Calibri"/>
        </w:rPr>
      </w:pPr>
    </w:p>
    <w:p w14:paraId="63D59719" w14:textId="4F3D3838" w:rsidR="00BA40A8" w:rsidRDefault="00BA40A8" w:rsidP="00E42AEF">
      <w:pPr>
        <w:jc w:val="both"/>
        <w:rPr>
          <w:rFonts w:ascii="Calibri" w:hAnsi="Calibri"/>
        </w:rPr>
      </w:pPr>
      <w:r>
        <w:rPr>
          <w:rFonts w:ascii="Calibri" w:hAnsi="Calibri"/>
        </w:rPr>
        <w:t xml:space="preserve">To date, </w:t>
      </w:r>
      <w:r w:rsidR="00C45FA4">
        <w:rPr>
          <w:rFonts w:ascii="Calibri" w:hAnsi="Calibri"/>
        </w:rPr>
        <w:t xml:space="preserve">most work in </w:t>
      </w:r>
      <w:r>
        <w:rPr>
          <w:rFonts w:ascii="Calibri" w:hAnsi="Calibri"/>
        </w:rPr>
        <w:t xml:space="preserve">modelling of nitrogen flows, fate and effects has been conducted in a piecemeal fashion with a high degree of separation between modelling communities related to different issues (e.g. water, air, climate, agriculture, energy etc). </w:t>
      </w:r>
      <w:r w:rsidR="00523ABA">
        <w:rPr>
          <w:rFonts w:ascii="Calibri" w:hAnsi="Calibri"/>
        </w:rPr>
        <w:t xml:space="preserve">‘Towards </w:t>
      </w:r>
      <w:r>
        <w:rPr>
          <w:rFonts w:ascii="Calibri" w:hAnsi="Calibri"/>
        </w:rPr>
        <w:t>INMS</w:t>
      </w:r>
      <w:r w:rsidR="00C45FA4">
        <w:rPr>
          <w:rFonts w:ascii="Calibri" w:hAnsi="Calibri"/>
        </w:rPr>
        <w:t>’</w:t>
      </w:r>
      <w:r>
        <w:rPr>
          <w:rFonts w:ascii="Calibri" w:hAnsi="Calibri"/>
        </w:rPr>
        <w:t xml:space="preserve"> is </w:t>
      </w:r>
      <w:r w:rsidR="00C45FA4">
        <w:rPr>
          <w:rFonts w:ascii="Calibri" w:hAnsi="Calibri"/>
        </w:rPr>
        <w:t xml:space="preserve">a </w:t>
      </w:r>
      <w:r>
        <w:rPr>
          <w:rFonts w:ascii="Calibri" w:hAnsi="Calibri"/>
        </w:rPr>
        <w:t xml:space="preserve">first major </w:t>
      </w:r>
      <w:r w:rsidR="00C45FA4">
        <w:rPr>
          <w:rFonts w:ascii="Calibri" w:hAnsi="Calibri"/>
        </w:rPr>
        <w:t xml:space="preserve">project </w:t>
      </w:r>
      <w:r>
        <w:rPr>
          <w:rFonts w:ascii="Calibri" w:hAnsi="Calibri"/>
        </w:rPr>
        <w:t>to bring these elements together</w:t>
      </w:r>
      <w:r w:rsidR="00C45FA4">
        <w:rPr>
          <w:rFonts w:ascii="Calibri" w:hAnsi="Calibri"/>
        </w:rPr>
        <w:t xml:space="preserve"> at the global scale</w:t>
      </w:r>
      <w:r>
        <w:rPr>
          <w:rFonts w:ascii="Calibri" w:hAnsi="Calibri"/>
        </w:rPr>
        <w:t xml:space="preserve">.  </w:t>
      </w:r>
      <w:r w:rsidR="00C45FA4">
        <w:rPr>
          <w:rFonts w:ascii="Calibri" w:hAnsi="Calibri"/>
        </w:rPr>
        <w:t xml:space="preserve">The work </w:t>
      </w:r>
      <w:r>
        <w:rPr>
          <w:rFonts w:ascii="Calibri" w:hAnsi="Calibri"/>
        </w:rPr>
        <w:t xml:space="preserve">therefore needs to proceed in a stepwise fashion in order to be achievable. For example, this may imply that successive meetings </w:t>
      </w:r>
      <w:r w:rsidR="00C45FA4">
        <w:rPr>
          <w:rFonts w:ascii="Calibri" w:hAnsi="Calibri"/>
        </w:rPr>
        <w:t xml:space="preserve">in different parts of INMS </w:t>
      </w:r>
      <w:r>
        <w:rPr>
          <w:rFonts w:ascii="Calibri" w:hAnsi="Calibri"/>
        </w:rPr>
        <w:t xml:space="preserve">focus </w:t>
      </w:r>
      <w:r w:rsidR="00C45FA4">
        <w:rPr>
          <w:rFonts w:ascii="Calibri" w:hAnsi="Calibri"/>
        </w:rPr>
        <w:t>on</w:t>
      </w:r>
      <w:r>
        <w:rPr>
          <w:rFonts w:ascii="Calibri" w:hAnsi="Calibri"/>
        </w:rPr>
        <w:t xml:space="preserve"> pairing different communities, rather than attempting to link all issues in one step.</w:t>
      </w:r>
    </w:p>
    <w:p w14:paraId="6393985B" w14:textId="523079A6" w:rsidR="00BA40A8" w:rsidRDefault="00BA40A8" w:rsidP="00E42AEF">
      <w:pPr>
        <w:jc w:val="both"/>
        <w:rPr>
          <w:rFonts w:ascii="Calibri" w:hAnsi="Calibri"/>
        </w:rPr>
      </w:pPr>
      <w:r>
        <w:rPr>
          <w:rFonts w:ascii="Calibri" w:hAnsi="Calibri"/>
        </w:rPr>
        <w:t xml:space="preserve">The establishment of </w:t>
      </w:r>
      <w:r w:rsidR="00C45FA4">
        <w:rPr>
          <w:rFonts w:ascii="Calibri" w:hAnsi="Calibri"/>
        </w:rPr>
        <w:t xml:space="preserve">a </w:t>
      </w:r>
      <w:r>
        <w:rPr>
          <w:rFonts w:ascii="Calibri" w:hAnsi="Calibri"/>
        </w:rPr>
        <w:t xml:space="preserve">synthesis </w:t>
      </w:r>
      <w:r w:rsidR="00C45FA4">
        <w:rPr>
          <w:rFonts w:ascii="Calibri" w:hAnsi="Calibri"/>
        </w:rPr>
        <w:t xml:space="preserve">activity </w:t>
      </w:r>
      <w:r>
        <w:rPr>
          <w:rFonts w:ascii="Calibri" w:hAnsi="Calibri"/>
        </w:rPr>
        <w:t>to produce a</w:t>
      </w:r>
      <w:r w:rsidR="00C45FA4">
        <w:rPr>
          <w:rFonts w:ascii="Calibri" w:hAnsi="Calibri"/>
        </w:rPr>
        <w:t xml:space="preserve"> definitive</w:t>
      </w:r>
      <w:r>
        <w:rPr>
          <w:rFonts w:ascii="Calibri" w:hAnsi="Calibri"/>
        </w:rPr>
        <w:t xml:space="preserve"> global nitrogen assessment has been a central goal of INI over the last decade</w:t>
      </w:r>
      <w:r w:rsidR="00C45FA4">
        <w:rPr>
          <w:rFonts w:ascii="Calibri" w:hAnsi="Calibri"/>
        </w:rPr>
        <w:t xml:space="preserve"> that </w:t>
      </w:r>
      <w:r>
        <w:rPr>
          <w:rFonts w:ascii="Calibri" w:hAnsi="Calibri"/>
        </w:rPr>
        <w:t xml:space="preserve">has also </w:t>
      </w:r>
      <w:r w:rsidR="00C45FA4">
        <w:rPr>
          <w:rFonts w:ascii="Calibri" w:hAnsi="Calibri"/>
        </w:rPr>
        <w:t xml:space="preserve">developed </w:t>
      </w:r>
      <w:r>
        <w:rPr>
          <w:rFonts w:ascii="Calibri" w:hAnsi="Calibri"/>
        </w:rPr>
        <w:t>with a stepwise approach. Activities in Europe, North America, India, China</w:t>
      </w:r>
      <w:r w:rsidR="00EB27E8">
        <w:rPr>
          <w:rFonts w:ascii="Calibri" w:hAnsi="Calibri"/>
        </w:rPr>
        <w:t>, Latin America and Africa have contributed to regional nitrogen assessment</w:t>
      </w:r>
      <w:r w:rsidR="00C45FA4">
        <w:rPr>
          <w:rFonts w:ascii="Calibri" w:hAnsi="Calibri"/>
        </w:rPr>
        <w:t>s</w:t>
      </w:r>
      <w:r w:rsidR="00EB27E8">
        <w:rPr>
          <w:rFonts w:ascii="Calibri" w:hAnsi="Calibri"/>
        </w:rPr>
        <w:t xml:space="preserve">. These </w:t>
      </w:r>
      <w:r w:rsidR="00C45FA4">
        <w:rPr>
          <w:rFonts w:ascii="Calibri" w:hAnsi="Calibri"/>
        </w:rPr>
        <w:t xml:space="preserve">INI Regional Centres </w:t>
      </w:r>
      <w:r w:rsidR="00EB27E8">
        <w:rPr>
          <w:rFonts w:ascii="Calibri" w:hAnsi="Calibri"/>
        </w:rPr>
        <w:t>worked together with GPNM to produce the Global Overview of Nutrient Management – ‘Our Nutrient World’.</w:t>
      </w:r>
      <w:r w:rsidR="00C45FA4">
        <w:rPr>
          <w:rStyle w:val="FootnoteReference"/>
          <w:rFonts w:ascii="Calibri" w:hAnsi="Calibri"/>
        </w:rPr>
        <w:footnoteReference w:id="2"/>
      </w:r>
      <w:r w:rsidR="00EB27E8">
        <w:rPr>
          <w:rFonts w:ascii="Calibri" w:hAnsi="Calibri"/>
        </w:rPr>
        <w:t xml:space="preserve"> In this way these products have had a major global impact in driving nitrogen science forward, making it more relevant to the needs of policy and practice and in raising public awareness. This is clearly illustrated </w:t>
      </w:r>
      <w:r w:rsidR="00C45FA4">
        <w:rPr>
          <w:rFonts w:ascii="Calibri" w:hAnsi="Calibri"/>
        </w:rPr>
        <w:t>by Our Nutrient World, which le</w:t>
      </w:r>
      <w:r w:rsidR="00EB27E8">
        <w:rPr>
          <w:rFonts w:ascii="Calibri" w:hAnsi="Calibri"/>
        </w:rPr>
        <w:t xml:space="preserve">d to over 300 media responses world-wide, with many articles in the press and radio, as well as </w:t>
      </w:r>
      <w:r w:rsidR="00FB322F">
        <w:rPr>
          <w:rFonts w:ascii="Calibri" w:hAnsi="Calibri"/>
        </w:rPr>
        <w:t>t</w:t>
      </w:r>
      <w:r w:rsidR="00EB27E8">
        <w:rPr>
          <w:rFonts w:ascii="Calibri" w:hAnsi="Calibri"/>
        </w:rPr>
        <w:t>elevision contributions.</w:t>
      </w:r>
      <w:r w:rsidR="00EB27E8">
        <w:rPr>
          <w:rStyle w:val="FootnoteReference"/>
          <w:rFonts w:ascii="Calibri" w:hAnsi="Calibri"/>
        </w:rPr>
        <w:footnoteReference w:id="3"/>
      </w:r>
      <w:r w:rsidR="00EB27E8">
        <w:rPr>
          <w:rFonts w:ascii="Calibri" w:hAnsi="Calibri"/>
        </w:rPr>
        <w:t xml:space="preserve"> The experience </w:t>
      </w:r>
      <w:r w:rsidR="00FB322F">
        <w:rPr>
          <w:rFonts w:ascii="Calibri" w:hAnsi="Calibri"/>
        </w:rPr>
        <w:t xml:space="preserve">shows that </w:t>
      </w:r>
      <w:r w:rsidR="00EB27E8">
        <w:rPr>
          <w:rFonts w:ascii="Calibri" w:hAnsi="Calibri"/>
        </w:rPr>
        <w:t xml:space="preserve">strong science synthesis, focused </w:t>
      </w:r>
      <w:r w:rsidR="00FB322F">
        <w:rPr>
          <w:rFonts w:ascii="Calibri" w:hAnsi="Calibri"/>
        </w:rPr>
        <w:t xml:space="preserve">on </w:t>
      </w:r>
      <w:r w:rsidR="00EB27E8">
        <w:rPr>
          <w:rFonts w:ascii="Calibri" w:hAnsi="Calibri"/>
        </w:rPr>
        <w:t xml:space="preserve">providing solutions to </w:t>
      </w:r>
      <w:r w:rsidR="00EB27E8">
        <w:rPr>
          <w:rFonts w:ascii="Calibri" w:hAnsi="Calibri"/>
        </w:rPr>
        <w:lastRenderedPageBreak/>
        <w:t>societal needs, has a major global impact in raising public awareness</w:t>
      </w:r>
      <w:r w:rsidR="00FB322F">
        <w:rPr>
          <w:rFonts w:ascii="Calibri" w:hAnsi="Calibri"/>
        </w:rPr>
        <w:t xml:space="preserve">. As such, it must a key </w:t>
      </w:r>
      <w:r w:rsidR="00EB27E8">
        <w:rPr>
          <w:rFonts w:ascii="Calibri" w:hAnsi="Calibri"/>
        </w:rPr>
        <w:t>foundation for global transformational change</w:t>
      </w:r>
      <w:r w:rsidR="00FB322F">
        <w:rPr>
          <w:rFonts w:ascii="Calibri" w:hAnsi="Calibri"/>
        </w:rPr>
        <w:t xml:space="preserve"> related to the nitrogen cycle</w:t>
      </w:r>
      <w:r w:rsidR="00EB27E8">
        <w:rPr>
          <w:rFonts w:ascii="Calibri" w:hAnsi="Calibri"/>
        </w:rPr>
        <w:t>.</w:t>
      </w:r>
    </w:p>
    <w:p w14:paraId="5D861937" w14:textId="77777777" w:rsidR="00523ABA" w:rsidRDefault="00EB27E8" w:rsidP="00E42AEF">
      <w:pPr>
        <w:jc w:val="both"/>
        <w:rPr>
          <w:rFonts w:ascii="Calibri" w:hAnsi="Calibri"/>
        </w:rPr>
      </w:pPr>
      <w:r>
        <w:rPr>
          <w:rFonts w:ascii="Calibri" w:hAnsi="Calibri"/>
        </w:rPr>
        <w:t xml:space="preserve">When it comes to the provision of guidance for better management actions, the emerging challenge is to provide guidance that can deliver </w:t>
      </w:r>
      <w:r w:rsidR="00523ABA">
        <w:rPr>
          <w:rFonts w:ascii="Calibri" w:hAnsi="Calibri"/>
        </w:rPr>
        <w:t xml:space="preserve">significant </w:t>
      </w:r>
      <w:r w:rsidR="00FB322F">
        <w:rPr>
          <w:rFonts w:ascii="Calibri" w:hAnsi="Calibri"/>
        </w:rPr>
        <w:t xml:space="preserve">nitrogen </w:t>
      </w:r>
      <w:r>
        <w:rPr>
          <w:rFonts w:ascii="Calibri" w:hAnsi="Calibri"/>
        </w:rPr>
        <w:t>co-benefits for cleaner water, cleaner air, reduced greenhouse gas emissions</w:t>
      </w:r>
      <w:r w:rsidR="00FB322F">
        <w:rPr>
          <w:rFonts w:ascii="Calibri" w:hAnsi="Calibri"/>
        </w:rPr>
        <w:t>, healthier ecosystems</w:t>
      </w:r>
      <w:r w:rsidR="00523ABA">
        <w:rPr>
          <w:rFonts w:ascii="Calibri" w:hAnsi="Calibri"/>
        </w:rPr>
        <w:t xml:space="preserve">, together with increased crop yields, livestock production and improved </w:t>
      </w:r>
      <w:r>
        <w:rPr>
          <w:rFonts w:ascii="Calibri" w:hAnsi="Calibri"/>
        </w:rPr>
        <w:t>profit</w:t>
      </w:r>
      <w:r w:rsidR="00523ABA">
        <w:rPr>
          <w:rFonts w:ascii="Calibri" w:hAnsi="Calibri"/>
        </w:rPr>
        <w:t>s</w:t>
      </w:r>
      <w:r>
        <w:rPr>
          <w:rFonts w:ascii="Calibri" w:hAnsi="Calibri"/>
        </w:rPr>
        <w:t xml:space="preserve"> </w:t>
      </w:r>
      <w:r w:rsidR="00523ABA">
        <w:rPr>
          <w:rFonts w:ascii="Calibri" w:hAnsi="Calibri"/>
        </w:rPr>
        <w:t>for</w:t>
      </w:r>
      <w:r>
        <w:rPr>
          <w:rFonts w:ascii="Calibri" w:hAnsi="Calibri"/>
        </w:rPr>
        <w:t xml:space="preserve"> </w:t>
      </w:r>
      <w:r w:rsidR="00523ABA">
        <w:rPr>
          <w:rFonts w:ascii="Calibri" w:hAnsi="Calibri"/>
        </w:rPr>
        <w:t xml:space="preserve">other </w:t>
      </w:r>
      <w:r>
        <w:rPr>
          <w:rFonts w:ascii="Calibri" w:hAnsi="Calibri"/>
        </w:rPr>
        <w:t xml:space="preserve">business sectors. The starting point is a wealth of information on nitrogen guidance linked to single issues and effects. </w:t>
      </w:r>
      <w:r w:rsidR="00FB322F">
        <w:rPr>
          <w:rFonts w:ascii="Calibri" w:hAnsi="Calibri"/>
        </w:rPr>
        <w:t xml:space="preserve">Examples are </w:t>
      </w:r>
      <w:r>
        <w:rPr>
          <w:rFonts w:ascii="Calibri" w:hAnsi="Calibri"/>
        </w:rPr>
        <w:t xml:space="preserve">guidance on </w:t>
      </w:r>
      <w:r w:rsidR="00FB322F">
        <w:rPr>
          <w:rFonts w:ascii="Calibri" w:hAnsi="Calibri"/>
        </w:rPr>
        <w:t xml:space="preserve">nitrogen in </w:t>
      </w:r>
      <w:r>
        <w:rPr>
          <w:rFonts w:ascii="Calibri" w:hAnsi="Calibri"/>
        </w:rPr>
        <w:t xml:space="preserve">water management or </w:t>
      </w:r>
      <w:r w:rsidR="00FB322F">
        <w:rPr>
          <w:rFonts w:ascii="Calibri" w:hAnsi="Calibri"/>
        </w:rPr>
        <w:t xml:space="preserve">relating to </w:t>
      </w:r>
      <w:r>
        <w:rPr>
          <w:rFonts w:ascii="Calibri" w:hAnsi="Calibri"/>
        </w:rPr>
        <w:t xml:space="preserve">emissions to air. </w:t>
      </w:r>
      <w:r w:rsidR="00FB322F">
        <w:rPr>
          <w:rFonts w:ascii="Calibri" w:hAnsi="Calibri"/>
        </w:rPr>
        <w:t xml:space="preserve">Many different </w:t>
      </w:r>
      <w:r>
        <w:rPr>
          <w:rFonts w:ascii="Calibri" w:hAnsi="Calibri"/>
        </w:rPr>
        <w:t xml:space="preserve">national and international organisations have established </w:t>
      </w:r>
      <w:r w:rsidR="00FB322F">
        <w:rPr>
          <w:rFonts w:ascii="Calibri" w:hAnsi="Calibri"/>
        </w:rPr>
        <w:t xml:space="preserve">their own </w:t>
      </w:r>
      <w:r>
        <w:rPr>
          <w:rFonts w:ascii="Calibri" w:hAnsi="Calibri"/>
        </w:rPr>
        <w:t>guidance documentation</w:t>
      </w:r>
      <w:r w:rsidR="00FB322F">
        <w:rPr>
          <w:rFonts w:ascii="Calibri" w:hAnsi="Calibri"/>
        </w:rPr>
        <w:t xml:space="preserve"> linking to different parts of the nitrogen cycle</w:t>
      </w:r>
      <w:r>
        <w:rPr>
          <w:rFonts w:ascii="Calibri" w:hAnsi="Calibri"/>
        </w:rPr>
        <w:t xml:space="preserve">. This is a point that has recently been recognized by the UNECE through its Task Force on Reactive Nitrogen, which is now seeking to develop </w:t>
      </w:r>
      <w:r w:rsidR="00FB322F">
        <w:rPr>
          <w:rFonts w:ascii="Calibri" w:hAnsi="Calibri"/>
        </w:rPr>
        <w:t xml:space="preserve">UNECE </w:t>
      </w:r>
      <w:r>
        <w:rPr>
          <w:rFonts w:ascii="Calibri" w:hAnsi="Calibri"/>
        </w:rPr>
        <w:t xml:space="preserve">guidance </w:t>
      </w:r>
      <w:r w:rsidR="00FB322F">
        <w:rPr>
          <w:rFonts w:ascii="Calibri" w:hAnsi="Calibri"/>
        </w:rPr>
        <w:t xml:space="preserve">documentation for </w:t>
      </w:r>
      <w:r>
        <w:rPr>
          <w:rFonts w:ascii="Calibri" w:hAnsi="Calibri"/>
        </w:rPr>
        <w:t xml:space="preserve">air, water and climate co-benefits. This </w:t>
      </w:r>
      <w:r w:rsidR="00FB322F">
        <w:rPr>
          <w:rFonts w:ascii="Calibri" w:hAnsi="Calibri"/>
        </w:rPr>
        <w:t xml:space="preserve">work </w:t>
      </w:r>
      <w:r>
        <w:rPr>
          <w:rFonts w:ascii="Calibri" w:hAnsi="Calibri"/>
        </w:rPr>
        <w:t xml:space="preserve">will contribute to the wider </w:t>
      </w:r>
      <w:r w:rsidR="00FB322F">
        <w:rPr>
          <w:rFonts w:ascii="Calibri" w:hAnsi="Calibri"/>
        </w:rPr>
        <w:t xml:space="preserve">Towards </w:t>
      </w:r>
      <w:r>
        <w:rPr>
          <w:rFonts w:ascii="Calibri" w:hAnsi="Calibri"/>
        </w:rPr>
        <w:t xml:space="preserve">INMS </w:t>
      </w:r>
      <w:r w:rsidR="00FB322F">
        <w:rPr>
          <w:rFonts w:ascii="Calibri" w:hAnsi="Calibri"/>
        </w:rPr>
        <w:t>Activity 2.3</w:t>
      </w:r>
      <w:r>
        <w:rPr>
          <w:rFonts w:ascii="Calibri" w:hAnsi="Calibri"/>
        </w:rPr>
        <w:t xml:space="preserve">, which </w:t>
      </w:r>
      <w:r w:rsidR="00FB322F">
        <w:rPr>
          <w:rFonts w:ascii="Calibri" w:hAnsi="Calibri"/>
        </w:rPr>
        <w:t xml:space="preserve">will cover </w:t>
      </w:r>
      <w:r>
        <w:rPr>
          <w:rFonts w:ascii="Calibri" w:hAnsi="Calibri"/>
        </w:rPr>
        <w:t xml:space="preserve">a </w:t>
      </w:r>
      <w:r w:rsidR="00FB322F">
        <w:rPr>
          <w:rFonts w:ascii="Calibri" w:hAnsi="Calibri"/>
        </w:rPr>
        <w:t xml:space="preserve">much </w:t>
      </w:r>
      <w:r w:rsidR="002E7C9B">
        <w:rPr>
          <w:rFonts w:ascii="Calibri" w:hAnsi="Calibri"/>
        </w:rPr>
        <w:t xml:space="preserve">more diverse </w:t>
      </w:r>
      <w:r>
        <w:rPr>
          <w:rFonts w:ascii="Calibri" w:hAnsi="Calibri"/>
        </w:rPr>
        <w:t>set of economic</w:t>
      </w:r>
      <w:r w:rsidR="00FB322F">
        <w:rPr>
          <w:rFonts w:ascii="Calibri" w:hAnsi="Calibri"/>
        </w:rPr>
        <w:t>, climatic and soil conditions.</w:t>
      </w:r>
      <w:r>
        <w:rPr>
          <w:rFonts w:ascii="Calibri" w:hAnsi="Calibri"/>
        </w:rPr>
        <w:t xml:space="preserve"> In this way the work of </w:t>
      </w:r>
      <w:r w:rsidR="00FB322F">
        <w:rPr>
          <w:rFonts w:ascii="Calibri" w:hAnsi="Calibri"/>
        </w:rPr>
        <w:t xml:space="preserve">Towards </w:t>
      </w:r>
      <w:r>
        <w:rPr>
          <w:rFonts w:ascii="Calibri" w:hAnsi="Calibri"/>
        </w:rPr>
        <w:t xml:space="preserve">INMS can </w:t>
      </w:r>
      <w:r w:rsidR="00E42AEF">
        <w:rPr>
          <w:rFonts w:ascii="Calibri" w:hAnsi="Calibri"/>
        </w:rPr>
        <w:t xml:space="preserve">build on </w:t>
      </w:r>
      <w:r w:rsidR="005C05F2">
        <w:rPr>
          <w:rFonts w:ascii="Calibri" w:hAnsi="Calibri"/>
        </w:rPr>
        <w:t xml:space="preserve">common interests of many national and international bodies, including </w:t>
      </w:r>
      <w:r w:rsidR="00E42AEF">
        <w:rPr>
          <w:rFonts w:ascii="Calibri" w:hAnsi="Calibri"/>
        </w:rPr>
        <w:t>UNEP, GEF, UNEC</w:t>
      </w:r>
      <w:r w:rsidR="00FB322F">
        <w:rPr>
          <w:rFonts w:ascii="Calibri" w:hAnsi="Calibri"/>
        </w:rPr>
        <w:t>E, OECD, CBD, UNFCCC, FAO, WHO</w:t>
      </w:r>
      <w:r w:rsidR="005C05F2">
        <w:rPr>
          <w:rFonts w:ascii="Calibri" w:hAnsi="Calibri"/>
        </w:rPr>
        <w:t xml:space="preserve"> and </w:t>
      </w:r>
      <w:r w:rsidR="00E42AEF">
        <w:rPr>
          <w:rFonts w:ascii="Calibri" w:hAnsi="Calibri"/>
        </w:rPr>
        <w:t>others.</w:t>
      </w:r>
      <w:r w:rsidR="00523ABA">
        <w:rPr>
          <w:rFonts w:ascii="Calibri" w:hAnsi="Calibri"/>
        </w:rPr>
        <w:t xml:space="preserve"> For example, the global approach of Towards INMS needs to consider both regions with excess and insufficient nitrogen. In both cases, improved management to reduce nitrogen losses should hold the prospect to improve productivity significantly.  </w:t>
      </w:r>
    </w:p>
    <w:p w14:paraId="1F5AE8AB" w14:textId="1E9B7DC5" w:rsidR="00E42AEF" w:rsidRDefault="00523ABA" w:rsidP="00E42AEF">
      <w:pPr>
        <w:jc w:val="both"/>
        <w:rPr>
          <w:rFonts w:ascii="Calibri" w:hAnsi="Calibri"/>
        </w:rPr>
      </w:pPr>
      <w:r>
        <w:rPr>
          <w:rFonts w:ascii="Calibri" w:hAnsi="Calibri"/>
        </w:rPr>
        <w:t>The challenge also extends beyond agriculture, including strengthening links with approaches to reduce losses of nitrogen through waste water and combustion. In principle further efforts are needed to develop and test strategies that focus on reducing denitrification and promoting reuse and recycling of all available nitrogen sources. This has significant implications for current technologies based on denitrification (e.g. catalytic and non-catalytic NO</w:t>
      </w:r>
      <w:r>
        <w:rPr>
          <w:rFonts w:ascii="Calibri" w:hAnsi="Calibri"/>
        </w:rPr>
        <w:softHyphen/>
      </w:r>
      <w:r w:rsidRPr="00523ABA">
        <w:rPr>
          <w:rFonts w:ascii="Calibri" w:hAnsi="Calibri"/>
          <w:vertAlign w:val="subscript"/>
        </w:rPr>
        <w:t>x</w:t>
      </w:r>
      <w:r>
        <w:rPr>
          <w:rFonts w:ascii="Calibri" w:hAnsi="Calibri"/>
        </w:rPr>
        <w:t xml:space="preserve"> reduction, tertiary water treatment) pointing to the opportunity for next generation systems that recycle </w:t>
      </w:r>
      <w:r w:rsidR="008D3BC0">
        <w:rPr>
          <w:rFonts w:ascii="Calibri" w:hAnsi="Calibri"/>
        </w:rPr>
        <w:t>N</w:t>
      </w:r>
      <w:r w:rsidR="008D3BC0" w:rsidRPr="008D3BC0">
        <w:rPr>
          <w:rFonts w:ascii="Calibri" w:hAnsi="Calibri"/>
          <w:vertAlign w:val="subscript"/>
        </w:rPr>
        <w:t>r</w:t>
      </w:r>
      <w:r w:rsidR="008D3BC0">
        <w:rPr>
          <w:rFonts w:ascii="Calibri" w:hAnsi="Calibri"/>
        </w:rPr>
        <w:t xml:space="preserve"> as a valuable resource </w:t>
      </w:r>
      <w:r>
        <w:rPr>
          <w:rFonts w:ascii="Calibri" w:hAnsi="Calibri"/>
        </w:rPr>
        <w:t xml:space="preserve">rather than </w:t>
      </w:r>
      <w:r w:rsidR="008D3BC0">
        <w:rPr>
          <w:rFonts w:ascii="Calibri" w:hAnsi="Calibri"/>
        </w:rPr>
        <w:t>destroy this resource by denitrification back to N</w:t>
      </w:r>
      <w:r w:rsidR="008D3BC0" w:rsidRPr="008D3BC0">
        <w:rPr>
          <w:rFonts w:ascii="Calibri" w:hAnsi="Calibri"/>
          <w:vertAlign w:val="subscript"/>
        </w:rPr>
        <w:t>2</w:t>
      </w:r>
      <w:r>
        <w:rPr>
          <w:rFonts w:ascii="Calibri" w:hAnsi="Calibri"/>
        </w:rPr>
        <w:t>.</w:t>
      </w:r>
    </w:p>
    <w:p w14:paraId="66B23535" w14:textId="4C9BDC61" w:rsidR="005C05F2" w:rsidRDefault="005C05F2" w:rsidP="00E42AEF">
      <w:pPr>
        <w:jc w:val="both"/>
        <w:rPr>
          <w:rFonts w:ascii="Calibri" w:hAnsi="Calibri"/>
        </w:rPr>
      </w:pPr>
      <w:r>
        <w:rPr>
          <w:rFonts w:ascii="Calibri" w:hAnsi="Calibri"/>
        </w:rPr>
        <w:t xml:space="preserve">Much work has been done on scenarios for different processes that </w:t>
      </w:r>
      <w:r w:rsidR="00FB322F">
        <w:rPr>
          <w:rFonts w:ascii="Calibri" w:hAnsi="Calibri"/>
        </w:rPr>
        <w:t xml:space="preserve">is </w:t>
      </w:r>
      <w:r>
        <w:rPr>
          <w:rFonts w:ascii="Calibri" w:hAnsi="Calibri"/>
        </w:rPr>
        <w:t xml:space="preserve">highly relevant for INMS. </w:t>
      </w:r>
      <w:r w:rsidR="00E42AEF">
        <w:rPr>
          <w:rFonts w:ascii="Calibri" w:hAnsi="Calibri"/>
        </w:rPr>
        <w:t xml:space="preserve"> </w:t>
      </w:r>
      <w:r>
        <w:rPr>
          <w:rFonts w:ascii="Calibri" w:hAnsi="Calibri"/>
        </w:rPr>
        <w:t xml:space="preserve">Here the central challenge will be to decide to what extent </w:t>
      </w:r>
      <w:r w:rsidR="00FB322F">
        <w:rPr>
          <w:rFonts w:ascii="Calibri" w:hAnsi="Calibri"/>
        </w:rPr>
        <w:t xml:space="preserve">Towards </w:t>
      </w:r>
      <w:r>
        <w:rPr>
          <w:rFonts w:ascii="Calibri" w:hAnsi="Calibri"/>
        </w:rPr>
        <w:t>INMS can use and build on existing</w:t>
      </w:r>
      <w:r w:rsidR="00FB322F">
        <w:rPr>
          <w:rFonts w:ascii="Calibri" w:hAnsi="Calibri"/>
        </w:rPr>
        <w:t xml:space="preserve"> processes working on scenario and story-</w:t>
      </w:r>
      <w:r>
        <w:rPr>
          <w:rFonts w:ascii="Calibri" w:hAnsi="Calibri"/>
        </w:rPr>
        <w:t xml:space="preserve">line development (e.g. </w:t>
      </w:r>
      <w:r w:rsidR="00FB322F">
        <w:rPr>
          <w:rFonts w:ascii="Calibri" w:hAnsi="Calibri"/>
        </w:rPr>
        <w:t xml:space="preserve">the </w:t>
      </w:r>
      <w:r>
        <w:rPr>
          <w:rFonts w:ascii="Calibri" w:hAnsi="Calibri"/>
        </w:rPr>
        <w:t>Representative Concentration Pathways, RCP, and Shared Socio Ec</w:t>
      </w:r>
      <w:r w:rsidR="00366EB4">
        <w:rPr>
          <w:rFonts w:ascii="Calibri" w:hAnsi="Calibri"/>
        </w:rPr>
        <w:t xml:space="preserve">onomic Pathways, SSP, of IPCC). Conversely, it needs to be agreed </w:t>
      </w:r>
      <w:r>
        <w:rPr>
          <w:rFonts w:ascii="Calibri" w:hAnsi="Calibri"/>
        </w:rPr>
        <w:t>to what extent new scenario approa</w:t>
      </w:r>
      <w:r w:rsidR="00FB322F">
        <w:rPr>
          <w:rFonts w:ascii="Calibri" w:hAnsi="Calibri"/>
        </w:rPr>
        <w:t>ches are needed that are better-</w:t>
      </w:r>
      <w:r>
        <w:rPr>
          <w:rFonts w:ascii="Calibri" w:hAnsi="Calibri"/>
        </w:rPr>
        <w:t>fitted to address the multi-dimensional nature of the global nitrogen challenge.  For example, new indicators being developed in Component 1, such as new formulations of nitrogen use efficiency (NUE), N surplus and effect indicators, as well as the developing concept of Planetary Boundaries</w:t>
      </w:r>
      <w:r w:rsidR="00366EB4">
        <w:rPr>
          <w:rFonts w:ascii="Calibri" w:hAnsi="Calibri"/>
        </w:rPr>
        <w:t>,</w:t>
      </w:r>
      <w:r>
        <w:rPr>
          <w:rFonts w:ascii="Calibri" w:hAnsi="Calibri"/>
        </w:rPr>
        <w:t xml:space="preserve"> </w:t>
      </w:r>
      <w:r w:rsidR="00366EB4">
        <w:rPr>
          <w:rFonts w:ascii="Calibri" w:hAnsi="Calibri"/>
        </w:rPr>
        <w:t xml:space="preserve">will </w:t>
      </w:r>
      <w:r>
        <w:rPr>
          <w:rFonts w:ascii="Calibri" w:hAnsi="Calibri"/>
        </w:rPr>
        <w:t>inform the approach to be discussed and adopted by INMS. The scenario analysis will utilize outcomes from the work on Cost-benefit analysis and on social/cultural barrier</w:t>
      </w:r>
      <w:r w:rsidR="002E7C9B">
        <w:rPr>
          <w:rFonts w:ascii="Calibri" w:hAnsi="Calibri"/>
        </w:rPr>
        <w:t>s</w:t>
      </w:r>
      <w:r>
        <w:rPr>
          <w:rFonts w:ascii="Calibri" w:hAnsi="Calibri"/>
        </w:rPr>
        <w:t xml:space="preserve"> to change for nitrogen as developed in Component 1. </w:t>
      </w:r>
    </w:p>
    <w:p w14:paraId="23742EC9" w14:textId="1262620A" w:rsidR="00E42AEF" w:rsidRPr="005C05F2" w:rsidRDefault="005C05F2" w:rsidP="005C05F2">
      <w:pPr>
        <w:jc w:val="both"/>
        <w:rPr>
          <w:rFonts w:ascii="Calibri" w:hAnsi="Calibri"/>
        </w:rPr>
      </w:pPr>
      <w:r>
        <w:rPr>
          <w:rFonts w:ascii="Calibri" w:hAnsi="Calibri"/>
        </w:rPr>
        <w:t xml:space="preserve">Overall, </w:t>
      </w:r>
      <w:r w:rsidRPr="001B3DA8">
        <w:rPr>
          <w:rFonts w:ascii="Calibri" w:hAnsi="Calibri"/>
        </w:rPr>
        <w:t xml:space="preserve">the core </w:t>
      </w:r>
      <w:r w:rsidR="001B3DA8" w:rsidRPr="001B3DA8">
        <w:rPr>
          <w:rFonts w:ascii="Calibri" w:hAnsi="Calibri"/>
        </w:rPr>
        <w:t xml:space="preserve">task of </w:t>
      </w:r>
      <w:r>
        <w:rPr>
          <w:rFonts w:ascii="Calibri" w:hAnsi="Calibri"/>
        </w:rPr>
        <w:t xml:space="preserve">Component 2 is to </w:t>
      </w:r>
      <w:r w:rsidR="001B3DA8">
        <w:rPr>
          <w:rFonts w:ascii="Calibri" w:hAnsi="Calibri"/>
        </w:rPr>
        <w:t>show how a joined-</w:t>
      </w:r>
      <w:r>
        <w:rPr>
          <w:rFonts w:ascii="Calibri" w:hAnsi="Calibri"/>
        </w:rPr>
        <w:t xml:space="preserve">up approach can strengthen recognition of the multiple benefits of improved nitrogen management. It will incorporate modelling and scenario activities, collation of existing knowledge and preparation of high level synthesis outcomes that provide the evidence necessary to </w:t>
      </w:r>
      <w:r w:rsidR="003E2A47">
        <w:rPr>
          <w:rFonts w:ascii="Calibri" w:hAnsi="Calibri"/>
        </w:rPr>
        <w:t xml:space="preserve">deliver clear recommendations and </w:t>
      </w:r>
      <w:r>
        <w:rPr>
          <w:rFonts w:ascii="Calibri" w:hAnsi="Calibri"/>
        </w:rPr>
        <w:t>support transformational actions by government</w:t>
      </w:r>
      <w:r w:rsidR="001B3DA8">
        <w:rPr>
          <w:rFonts w:ascii="Calibri" w:hAnsi="Calibri"/>
        </w:rPr>
        <w:t>s, business and citizens alike.</w:t>
      </w:r>
    </w:p>
    <w:p w14:paraId="463D7C1F" w14:textId="77777777" w:rsidR="00A90833" w:rsidRDefault="00A90833" w:rsidP="00A90833">
      <w:pPr>
        <w:shd w:val="clear" w:color="auto" w:fill="FFFFFF" w:themeFill="background1"/>
        <w:spacing w:after="0" w:line="240" w:lineRule="auto"/>
        <w:rPr>
          <w:b/>
          <w:sz w:val="16"/>
          <w:szCs w:val="16"/>
        </w:rPr>
      </w:pPr>
    </w:p>
    <w:p w14:paraId="3B7658E7" w14:textId="7F5E69F6" w:rsidR="00A90833" w:rsidRPr="00A90833" w:rsidRDefault="00A90833" w:rsidP="00E42AEF">
      <w:r>
        <w:rPr>
          <w:b/>
        </w:rPr>
        <w:t xml:space="preserve">Key Outputs </w:t>
      </w:r>
      <w:r>
        <w:t xml:space="preserve">of Component 2 are: </w:t>
      </w:r>
    </w:p>
    <w:p w14:paraId="10A3122A" w14:textId="6E603A98" w:rsidR="00E42AEF" w:rsidRPr="00134A82" w:rsidRDefault="00A90833" w:rsidP="00E42AEF">
      <w:r>
        <w:rPr>
          <w:b/>
        </w:rPr>
        <w:t>Output 2.1.</w:t>
      </w:r>
      <w:r w:rsidR="00E42AEF" w:rsidRPr="00134A82">
        <w:t xml:space="preserve"> Quantification </w:t>
      </w:r>
      <w:r w:rsidR="00E42AEF">
        <w:t>&amp;</w:t>
      </w:r>
      <w:r w:rsidR="00E42AEF" w:rsidRPr="00134A82">
        <w:t xml:space="preserve"> assessment of the regional threats from excess N and insufficient N</w:t>
      </w:r>
      <w:r w:rsidR="003E2A47">
        <w:t xml:space="preserve"> (including consideration of interactions with other biogeochemical cycles). </w:t>
      </w:r>
    </w:p>
    <w:p w14:paraId="3F964E35" w14:textId="765F861D" w:rsidR="00A431F7" w:rsidRPr="00134A82" w:rsidRDefault="00A90833" w:rsidP="00E42AEF">
      <w:r>
        <w:rPr>
          <w:b/>
        </w:rPr>
        <w:lastRenderedPageBreak/>
        <w:t xml:space="preserve">Output </w:t>
      </w:r>
      <w:r w:rsidR="00E42AEF" w:rsidRPr="00134A82">
        <w:rPr>
          <w:b/>
        </w:rPr>
        <w:t>2.2</w:t>
      </w:r>
      <w:r>
        <w:t>.</w:t>
      </w:r>
      <w:r w:rsidR="00E42AEF" w:rsidRPr="00134A82">
        <w:t xml:space="preserve"> Detailed overview of regional/local N flux and consolidation into </w:t>
      </w:r>
      <w:r w:rsidR="00A431F7">
        <w:t xml:space="preserve">a global assessment of N fluxes, </w:t>
      </w:r>
      <w:r w:rsidR="00E42AEF" w:rsidRPr="00134A82">
        <w:t>pathways</w:t>
      </w:r>
      <w:r w:rsidR="00A431F7" w:rsidRPr="00A431F7">
        <w:t>, effects and benefits of improved N management</w:t>
      </w:r>
    </w:p>
    <w:p w14:paraId="268C1529" w14:textId="25AC72F2" w:rsidR="00E42AEF" w:rsidRPr="00134A82" w:rsidRDefault="00A90833" w:rsidP="00E42AEF">
      <w:r>
        <w:rPr>
          <w:b/>
        </w:rPr>
        <w:t xml:space="preserve">Output </w:t>
      </w:r>
      <w:r w:rsidR="00E42AEF" w:rsidRPr="00134A82">
        <w:rPr>
          <w:b/>
        </w:rPr>
        <w:t>2.3</w:t>
      </w:r>
      <w:r>
        <w:t>.</w:t>
      </w:r>
      <w:r w:rsidR="00E42AEF" w:rsidRPr="00134A82">
        <w:t xml:space="preserve"> Consolidation of methods and good practices to address iss</w:t>
      </w:r>
      <w:r>
        <w:t>ues of excess and insufficient reactive nitrogen</w:t>
      </w:r>
    </w:p>
    <w:p w14:paraId="67147A44" w14:textId="0AF662BE" w:rsidR="00E42AEF" w:rsidRPr="00134A82" w:rsidRDefault="00A90833" w:rsidP="00E42AEF">
      <w:r>
        <w:rPr>
          <w:b/>
        </w:rPr>
        <w:t xml:space="preserve">Output </w:t>
      </w:r>
      <w:r w:rsidR="00E42AEF" w:rsidRPr="00134A82">
        <w:rPr>
          <w:b/>
        </w:rPr>
        <w:t>2.4</w:t>
      </w:r>
      <w:r>
        <w:t>.</w:t>
      </w:r>
      <w:r w:rsidR="00E42AEF" w:rsidRPr="00134A82">
        <w:t xml:space="preserve"> Definition of programmes a</w:t>
      </w:r>
      <w:r>
        <w:t xml:space="preserve">nd policy options for improved reactive nitrogen </w:t>
      </w:r>
      <w:r w:rsidR="00E42AEF" w:rsidRPr="00134A82">
        <w:t>management at local/regional/global levels, supported by cost-benefit analysis to underpin options for the Green Economy.</w:t>
      </w:r>
    </w:p>
    <w:p w14:paraId="2D6D4A0A" w14:textId="754B36D8" w:rsidR="00E42AEF" w:rsidRPr="002D12F2" w:rsidRDefault="00A90833" w:rsidP="00E42AEF">
      <w:r>
        <w:rPr>
          <w:b/>
        </w:rPr>
        <w:t xml:space="preserve">Output </w:t>
      </w:r>
      <w:r w:rsidR="00E42AEF" w:rsidRPr="00134A82">
        <w:rPr>
          <w:b/>
        </w:rPr>
        <w:t>2.5</w:t>
      </w:r>
      <w:r>
        <w:t>.</w:t>
      </w:r>
      <w:r w:rsidR="00E42AEF" w:rsidRPr="00134A82">
        <w:t xml:space="preserve"> Compendium summarizing the state of knowledge, experience and measures adopted by GEF (and others) gained from addressing the issues</w:t>
      </w:r>
      <w:r>
        <w:t xml:space="preserve"> of excess and insufficient reactive nitrogen.</w:t>
      </w:r>
    </w:p>
    <w:p w14:paraId="219C9F96" w14:textId="77777777" w:rsidR="00E42AEF" w:rsidRPr="00E42AEF" w:rsidRDefault="00E42AEF" w:rsidP="00E42AEF">
      <w:pPr>
        <w:rPr>
          <w:color w:val="000000" w:themeColor="text1"/>
        </w:rPr>
      </w:pPr>
    </w:p>
    <w:p w14:paraId="6F386ABF" w14:textId="37289A04" w:rsidR="004C34C5" w:rsidRDefault="004C34C5" w:rsidP="004C34C5">
      <w:pPr>
        <w:pStyle w:val="Heading2"/>
      </w:pPr>
      <w:bookmarkStart w:id="6" w:name="_Toc442303830"/>
      <w:r>
        <w:t>Baseline</w:t>
      </w:r>
      <w:bookmarkEnd w:id="6"/>
    </w:p>
    <w:p w14:paraId="71700545" w14:textId="372D7A58" w:rsidR="004C34C5" w:rsidRDefault="00083B24" w:rsidP="00083B24">
      <w:pPr>
        <w:pStyle w:val="Heading3"/>
      </w:pPr>
      <w:bookmarkStart w:id="7" w:name="_Toc442303831"/>
      <w:r>
        <w:t>Baseline analysis</w:t>
      </w:r>
      <w:bookmarkEnd w:id="7"/>
    </w:p>
    <w:p w14:paraId="09FC3102" w14:textId="77777777" w:rsidR="00083B24" w:rsidRDefault="00083B24" w:rsidP="00083B24"/>
    <w:p w14:paraId="2AF0D12D" w14:textId="2417F10F" w:rsidR="00083B24" w:rsidRPr="00083B24" w:rsidRDefault="00083B24" w:rsidP="00083B24">
      <w:pPr>
        <w:rPr>
          <w:b/>
        </w:rPr>
      </w:pPr>
      <w:r>
        <w:rPr>
          <w:b/>
        </w:rPr>
        <w:t>Current S</w:t>
      </w:r>
      <w:r w:rsidRPr="00083B24">
        <w:rPr>
          <w:b/>
        </w:rPr>
        <w:t>tatus of Global Nitrogen Modelling</w:t>
      </w:r>
    </w:p>
    <w:p w14:paraId="021FE86A" w14:textId="5F5528F5" w:rsidR="003E2A47" w:rsidRDefault="003E2A47" w:rsidP="003E2A47">
      <w:r>
        <w:t xml:space="preserve">In Component 1, we already described currently available global models including nitrogen compounds. This includes the </w:t>
      </w:r>
      <w:r w:rsidRPr="0063730A">
        <w:t xml:space="preserve">Global </w:t>
      </w:r>
      <w:r w:rsidRPr="003E2A47">
        <w:t xml:space="preserve">Nutrient Model within IMAGE (IMAGE-GNM) </w:t>
      </w:r>
      <w:r>
        <w:t xml:space="preserve">that has been applied to assess global scale spatially explicit land N (and P) budgets </w:t>
      </w:r>
      <w:r w:rsidRPr="00D56FCE">
        <w:t xml:space="preserve">in livestock and crop production </w:t>
      </w:r>
      <w:r w:rsidRPr="003E2A47">
        <w:t>systems in the past and in the future (1900 to 2050) in response to various scena</w:t>
      </w:r>
      <w:r>
        <w:t>rios.</w:t>
      </w:r>
      <w:r w:rsidRPr="00A602E8">
        <w:rPr>
          <w:rStyle w:val="FootnoteReference"/>
        </w:rPr>
        <w:footnoteReference w:id="4"/>
      </w:r>
      <w:r>
        <w:t xml:space="preserve"> The budgets include inputs by fertilizer, manure, fixation and deposition and outputs by crop uptake, losses to air by emissions of ammonia (NH</w:t>
      </w:r>
      <w:r w:rsidRPr="003E2A47">
        <w:rPr>
          <w:vertAlign w:val="subscript"/>
        </w:rPr>
        <w:t>3</w:t>
      </w:r>
      <w:r>
        <w:t>), nitrous oxide (N</w:t>
      </w:r>
      <w:r w:rsidRPr="003E2A47">
        <w:rPr>
          <w:vertAlign w:val="subscript"/>
        </w:rPr>
        <w:t>2</w:t>
      </w:r>
      <w:r>
        <w:t>O), nitrogen oxides (NO</w:t>
      </w:r>
      <w:r w:rsidRPr="003E2A47">
        <w:rPr>
          <w:vertAlign w:val="subscript"/>
        </w:rPr>
        <w:t>x</w:t>
      </w:r>
      <w:r>
        <w:t xml:space="preserve"> = NO and NO</w:t>
      </w:r>
      <w:r w:rsidRPr="003E2A47">
        <w:rPr>
          <w:vertAlign w:val="subscript"/>
        </w:rPr>
        <w:t>2</w:t>
      </w:r>
      <w:r>
        <w:t>) and dinitrogen (N</w:t>
      </w:r>
      <w:r w:rsidRPr="003E2A47">
        <w:rPr>
          <w:vertAlign w:val="subscript"/>
        </w:rPr>
        <w:t>2</w:t>
      </w:r>
      <w:r>
        <w:t>) as well as losses (runoff) to water. Results showed that in the beginning of the 20th century, nitrogen budgets were either balanced or surpluses were small; between 1900 and 1950, global soil N surplus almost doubled from 20 to 36 Tg·yr</w:t>
      </w:r>
      <w:r w:rsidRPr="00D56FCE">
        <w:rPr>
          <w:vertAlign w:val="superscript"/>
        </w:rPr>
        <w:t>−1</w:t>
      </w:r>
      <w:r>
        <w:t xml:space="preserve"> and between 1950 and 2000, the global surplus increased to 138 Tg·yr</w:t>
      </w:r>
      <w:r w:rsidRPr="00680908">
        <w:rPr>
          <w:vertAlign w:val="superscript"/>
        </w:rPr>
        <w:t>−1</w:t>
      </w:r>
      <w:r>
        <w:t xml:space="preserve"> of N.  The future predictions in response to various scenario indicate increasing global crop (+82% for 2000–2050) and livestock production (+115%) and despite rapidly increasing recovery in crop and livestock production (both +35%), global nutrient surpluses are predicted to increase by 23%. The model predictions further show that combinations of intensification, better integration of animal manure in crop production, and matching N and P supply to livestock requirements can make effective contributions to reduce nutrient flows. </w:t>
      </w:r>
    </w:p>
    <w:p w14:paraId="18F571EB" w14:textId="3C42BC7F" w:rsidR="00292ABD" w:rsidRPr="00E17DEE" w:rsidRDefault="003E2A47" w:rsidP="00E17DEE">
      <w:r>
        <w:t>The global scale NH</w:t>
      </w:r>
      <w:r w:rsidRPr="006239E0">
        <w:rPr>
          <w:vertAlign w:val="subscript"/>
        </w:rPr>
        <w:t>3</w:t>
      </w:r>
      <w:r>
        <w:t xml:space="preserve"> and NO</w:t>
      </w:r>
      <w:r w:rsidRPr="006239E0">
        <w:rPr>
          <w:vertAlign w:val="subscript"/>
        </w:rPr>
        <w:t xml:space="preserve">x </w:t>
      </w:r>
      <w:r>
        <w:t xml:space="preserve">emissions of the </w:t>
      </w:r>
      <w:r w:rsidRPr="0063730A">
        <w:t>IMAGE-GNM</w:t>
      </w:r>
      <w:r>
        <w:t xml:space="preserve"> model, in combination with various other global N emissions estimates, such as results from the EDGAR database, have been in atmospheric emission deposition models, such as TFM to assess global scale spatially explicit N deposition trends for the same period (1900-2050)</w:t>
      </w:r>
      <w:r w:rsidRPr="00A602E8">
        <w:rPr>
          <w:rStyle w:val="FootnoteReference"/>
        </w:rPr>
        <w:footnoteReference w:id="5"/>
      </w:r>
      <w:r>
        <w:t xml:space="preserve">. As with N surpluses, results of global scale N deposition also show </w:t>
      </w:r>
      <w:r>
        <w:lastRenderedPageBreak/>
        <w:t>a strong increase in N deposition between 1950 and 2000 and a further expected increase in 2050 in large parts of Asia while reductions are predicted for Europe and the US. Results of these N deposition models have been used to assess global scale impacts on plant species diversity, in interaction with other drivers affecting biodiversity, including land cover change, land-use intensity, fragmentation, climate change and infrastructure development, using the GLOBIO model.</w:t>
      </w:r>
      <w:r w:rsidRPr="00A602E8">
        <w:rPr>
          <w:rStyle w:val="FootnoteReference"/>
        </w:rPr>
        <w:footnoteReference w:id="6"/>
      </w:r>
      <w:r>
        <w:t xml:space="preserve"> Model results indicate that impacts of climate change, nitrogen deposition, fragmentation, and infrastructure all together reduce mean plant species abundance (MSA) by ca 10%. N deposition results have also been used in earth system models </w:t>
      </w:r>
      <w:r w:rsidRPr="001B612B">
        <w:t xml:space="preserve">predicting </w:t>
      </w:r>
      <w:r>
        <w:t xml:space="preserve">changes in the net primary production and carbon sequestration of </w:t>
      </w:r>
      <w:r w:rsidRPr="001B612B">
        <w:t>terrestrial ecosystems in response to N deposition, ozone exposure, CO</w:t>
      </w:r>
      <w:r w:rsidRPr="003E2A47">
        <w:rPr>
          <w:vertAlign w:val="subscript"/>
        </w:rPr>
        <w:t>2</w:t>
      </w:r>
      <w:r w:rsidRPr="001B612B">
        <w:t xml:space="preserve"> and climate</w:t>
      </w:r>
      <w:r>
        <w:t>. In a most recent study, results show that 19% of the recent (1990–2007) and 24% of the historical global C sink (1900–2006) was driven by N deposition effects.</w:t>
      </w:r>
      <w:r w:rsidRPr="00A602E8">
        <w:rPr>
          <w:rStyle w:val="FootnoteReference"/>
        </w:rPr>
        <w:footnoteReference w:id="7"/>
      </w:r>
      <w:r>
        <w:t xml:space="preserve"> The global scale N (and P) surpluses of the </w:t>
      </w:r>
      <w:r w:rsidRPr="0063730A">
        <w:t>IMAGE-GNM</w:t>
      </w:r>
      <w:r>
        <w:t xml:space="preserve"> model, in combination with estimates of N (and P) point sources have also been used to assess </w:t>
      </w:r>
      <w:r w:rsidRPr="005021CB">
        <w:t xml:space="preserve">N runoff to rivers and oceans in response to </w:t>
      </w:r>
      <w:r>
        <w:t xml:space="preserve">those </w:t>
      </w:r>
      <w:r w:rsidRPr="005021CB">
        <w:t>point and diffuse N sources</w:t>
      </w:r>
      <w:r>
        <w:t xml:space="preserve"> with the </w:t>
      </w:r>
      <w:r w:rsidRPr="005021CB">
        <w:t>Global NEWS</w:t>
      </w:r>
      <w:r>
        <w:t xml:space="preserve"> model</w:t>
      </w:r>
      <w:r w:rsidRPr="005021CB">
        <w:t xml:space="preserve"> </w:t>
      </w:r>
      <w:r>
        <w:t>for the period 1970-2050.</w:t>
      </w:r>
      <w:r w:rsidRPr="00A602E8">
        <w:rPr>
          <w:rStyle w:val="FootnoteReference"/>
        </w:rPr>
        <w:footnoteReference w:id="8"/>
      </w:r>
      <w:r>
        <w:t xml:space="preserve"> As with N surplus, model results indicate increasing N export especially in parts of Asia.</w:t>
      </w:r>
    </w:p>
    <w:p w14:paraId="2B044BD8" w14:textId="77777777" w:rsidR="00083B24" w:rsidRDefault="00083B24" w:rsidP="00083B24">
      <w:r w:rsidRPr="00083B24">
        <w:rPr>
          <w:b/>
        </w:rPr>
        <w:t xml:space="preserve">Baseline for Global assessment of nitrogen fluxes, pathways and impacts </w:t>
      </w:r>
    </w:p>
    <w:p w14:paraId="5AE0117F" w14:textId="07B56025" w:rsidR="001B3DA8" w:rsidRDefault="00A8397E" w:rsidP="00083B24">
      <w:r>
        <w:t xml:space="preserve">A number of </w:t>
      </w:r>
      <w:r w:rsidR="001B3DA8">
        <w:t xml:space="preserve">recent </w:t>
      </w:r>
      <w:r>
        <w:t xml:space="preserve">activities provide useful input to the </w:t>
      </w:r>
      <w:r w:rsidR="001B3DA8">
        <w:t xml:space="preserve">global </w:t>
      </w:r>
      <w:r>
        <w:t>nitrogen assessment process</w:t>
      </w:r>
      <w:r w:rsidR="001B3DA8">
        <w:t xml:space="preserve"> of INMS</w:t>
      </w:r>
      <w:r>
        <w:t xml:space="preserve">. </w:t>
      </w:r>
      <w:r w:rsidR="001B3DA8">
        <w:t xml:space="preserve">A </w:t>
      </w:r>
      <w:r>
        <w:t xml:space="preserve">starting point </w:t>
      </w:r>
      <w:r w:rsidR="001B3DA8">
        <w:t xml:space="preserve">can be found in </w:t>
      </w:r>
      <w:r>
        <w:t xml:space="preserve">the INI activities </w:t>
      </w:r>
      <w:r w:rsidR="001B3DA8">
        <w:t xml:space="preserve">to develop </w:t>
      </w:r>
      <w:r>
        <w:t>regional assessment</w:t>
      </w:r>
      <w:r w:rsidR="001B3DA8">
        <w:t>s</w:t>
      </w:r>
      <w:r>
        <w:t>.  These include the European Nitrogen Assessment</w:t>
      </w:r>
      <w:r w:rsidR="00E87D5A">
        <w:t>,</w:t>
      </w:r>
      <w:r>
        <w:rPr>
          <w:rStyle w:val="FootnoteReference"/>
        </w:rPr>
        <w:footnoteReference w:id="9"/>
      </w:r>
      <w:r w:rsidR="00E87D5A" w:rsidRPr="00E87D5A">
        <w:rPr>
          <w:vertAlign w:val="superscript"/>
        </w:rPr>
        <w:t>,</w:t>
      </w:r>
      <w:r w:rsidR="00E87D5A">
        <w:rPr>
          <w:rStyle w:val="FootnoteReference"/>
        </w:rPr>
        <w:footnoteReference w:id="10"/>
      </w:r>
      <w:r>
        <w:t xml:space="preserve"> the US assessment of nitrogen climate in</w:t>
      </w:r>
      <w:r w:rsidR="00CE5582">
        <w:t>ter</w:t>
      </w:r>
      <w:r>
        <w:t>actions</w:t>
      </w:r>
      <w:r w:rsidR="001B3DA8">
        <w:t>,</w:t>
      </w:r>
      <w:r>
        <w:rPr>
          <w:rStyle w:val="FootnoteReference"/>
        </w:rPr>
        <w:footnoteReference w:id="11"/>
      </w:r>
      <w:r w:rsidRPr="00E87D5A">
        <w:rPr>
          <w:vertAlign w:val="superscript"/>
        </w:rPr>
        <w:t>,</w:t>
      </w:r>
      <w:r w:rsidR="00E87D5A">
        <w:rPr>
          <w:rStyle w:val="FootnoteReference"/>
        </w:rPr>
        <w:footnoteReference w:id="12"/>
      </w:r>
      <w:r>
        <w:t xml:space="preserve"> the US EPA nitrogen assessment</w:t>
      </w:r>
      <w:r>
        <w:rPr>
          <w:rStyle w:val="FootnoteReference"/>
        </w:rPr>
        <w:footnoteReference w:id="13"/>
      </w:r>
      <w:r>
        <w:t xml:space="preserve"> and the Indian Nitrogen A</w:t>
      </w:r>
      <w:r w:rsidR="001B3DA8">
        <w:t>s</w:t>
      </w:r>
      <w:r>
        <w:t>sessment</w:t>
      </w:r>
      <w:r w:rsidR="001B3DA8">
        <w:t xml:space="preserve"> process</w:t>
      </w:r>
      <w:r>
        <w:t>.</w:t>
      </w:r>
      <w:r>
        <w:rPr>
          <w:rStyle w:val="FootnoteReference"/>
        </w:rPr>
        <w:footnoteReference w:id="14"/>
      </w:r>
      <w:r>
        <w:t xml:space="preserve">  These have been complemented by more specific activities at a global scale</w:t>
      </w:r>
      <w:r w:rsidR="001B3DA8">
        <w:t>,</w:t>
      </w:r>
      <w:r>
        <w:t xml:space="preserve"> including the </w:t>
      </w:r>
      <w:r w:rsidR="001B3DA8">
        <w:t xml:space="preserve">‘Our Nutrient World’ </w:t>
      </w:r>
      <w:r>
        <w:t xml:space="preserve">report </w:t>
      </w:r>
      <w:r>
        <w:lastRenderedPageBreak/>
        <w:t>for UNEP</w:t>
      </w:r>
      <w:r w:rsidR="00E87D5A">
        <w:t xml:space="preserve">, the </w:t>
      </w:r>
      <w:r w:rsidR="001B3DA8">
        <w:t xml:space="preserve">synthesis published by the </w:t>
      </w:r>
      <w:r>
        <w:t>Royal Society of London</w:t>
      </w:r>
      <w:r w:rsidR="001B3DA8">
        <w:t>,</w:t>
      </w:r>
      <w:r>
        <w:rPr>
          <w:rStyle w:val="FootnoteReference"/>
        </w:rPr>
        <w:footnoteReference w:id="15"/>
      </w:r>
      <w:r>
        <w:t xml:space="preserve"> and the report of UNEP on </w:t>
      </w:r>
      <w:r w:rsidR="001B3DA8">
        <w:t>‘Drawing Down N</w:t>
      </w:r>
      <w:r w:rsidR="001B3DA8" w:rsidRPr="001B3DA8">
        <w:rPr>
          <w:vertAlign w:val="subscript"/>
        </w:rPr>
        <w:t>2</w:t>
      </w:r>
      <w:r w:rsidR="001B3DA8">
        <w:t xml:space="preserve">O’ </w:t>
      </w:r>
      <w:r>
        <w:t>emissions.</w:t>
      </w:r>
      <w:r>
        <w:rPr>
          <w:rStyle w:val="FootnoteReference"/>
        </w:rPr>
        <w:footnoteReference w:id="16"/>
      </w:r>
      <w:r>
        <w:t xml:space="preserve">  </w:t>
      </w:r>
      <w:r w:rsidR="001B3DA8">
        <w:t>The results from e</w:t>
      </w:r>
      <w:r>
        <w:t xml:space="preserve">ach of these </w:t>
      </w:r>
      <w:r w:rsidR="001B3DA8">
        <w:t xml:space="preserve">will </w:t>
      </w:r>
      <w:r>
        <w:t xml:space="preserve">contribute to the consolidated global nitrogen assessment </w:t>
      </w:r>
      <w:r w:rsidR="00001B31">
        <w:t xml:space="preserve">of N fluxes, pathways </w:t>
      </w:r>
      <w:r w:rsidR="00E87D5A">
        <w:t>and impacts</w:t>
      </w:r>
      <w:r w:rsidR="001B3DA8">
        <w:t xml:space="preserve"> to be developed by INMS</w:t>
      </w:r>
      <w:r w:rsidR="00E87D5A">
        <w:t>.</w:t>
      </w:r>
    </w:p>
    <w:p w14:paraId="7971EFD0" w14:textId="0B205883" w:rsidR="00083B24" w:rsidRDefault="00083B24" w:rsidP="00083B24">
      <w:pPr>
        <w:rPr>
          <w:b/>
        </w:rPr>
      </w:pPr>
      <w:r w:rsidRPr="00083B24">
        <w:rPr>
          <w:b/>
        </w:rPr>
        <w:t>Status of Guidance on improved nitrogen management</w:t>
      </w:r>
    </w:p>
    <w:p w14:paraId="21B0BA80" w14:textId="66850429" w:rsidR="00292ABD" w:rsidRDefault="00166990" w:rsidP="00292ABD">
      <w:pPr>
        <w:jc w:val="both"/>
        <w:rPr>
          <w:rFonts w:ascii="Calibri" w:hAnsi="Calibri"/>
        </w:rPr>
      </w:pPr>
      <w:r>
        <w:rPr>
          <w:rFonts w:ascii="Calibri" w:hAnsi="Calibri"/>
        </w:rPr>
        <w:t>The following provide important starting points in the development of guidance documentation on better nitrogen management practices</w:t>
      </w:r>
      <w:r w:rsidR="00292ABD">
        <w:rPr>
          <w:rFonts w:ascii="Calibri" w:hAnsi="Calibri"/>
        </w:rPr>
        <w:t>:</w:t>
      </w:r>
    </w:p>
    <w:p w14:paraId="21FB2C38" w14:textId="420DBF18" w:rsidR="00292ABD" w:rsidRDefault="00292ABD" w:rsidP="00292ABD">
      <w:pPr>
        <w:pStyle w:val="ListParagraph"/>
        <w:numPr>
          <w:ilvl w:val="0"/>
          <w:numId w:val="17"/>
        </w:numPr>
        <w:jc w:val="both"/>
        <w:rPr>
          <w:rFonts w:ascii="Calibri" w:hAnsi="Calibri"/>
        </w:rPr>
      </w:pPr>
      <w:r>
        <w:rPr>
          <w:rFonts w:ascii="Calibri" w:hAnsi="Calibri"/>
        </w:rPr>
        <w:t>The UNEP report ‘Drawing down N</w:t>
      </w:r>
      <w:r w:rsidRPr="00FC4F05">
        <w:rPr>
          <w:rFonts w:ascii="Calibri" w:hAnsi="Calibri"/>
          <w:vertAlign w:val="subscript"/>
        </w:rPr>
        <w:t>2</w:t>
      </w:r>
      <w:r w:rsidR="00E87D5A">
        <w:rPr>
          <w:rFonts w:ascii="Calibri" w:hAnsi="Calibri"/>
        </w:rPr>
        <w:t xml:space="preserve">O’ </w:t>
      </w:r>
      <w:r w:rsidR="00166990">
        <w:rPr>
          <w:rFonts w:ascii="Calibri" w:hAnsi="Calibri"/>
          <w:highlight w:val="yellow"/>
          <w:vertAlign w:val="superscript"/>
        </w:rPr>
        <w:t>1</w:t>
      </w:r>
      <w:r w:rsidR="002076F0">
        <w:rPr>
          <w:rFonts w:ascii="Calibri" w:hAnsi="Calibri"/>
          <w:highlight w:val="yellow"/>
          <w:vertAlign w:val="superscript"/>
        </w:rPr>
        <w:t>5</w:t>
      </w:r>
      <w:r w:rsidR="00E87D5A">
        <w:rPr>
          <w:rFonts w:ascii="Calibri" w:hAnsi="Calibri"/>
          <w:vertAlign w:val="superscript"/>
        </w:rPr>
        <w:t xml:space="preserve"> </w:t>
      </w:r>
      <w:r>
        <w:rPr>
          <w:rFonts w:ascii="Calibri" w:hAnsi="Calibri"/>
        </w:rPr>
        <w:t>wa</w:t>
      </w:r>
      <w:r w:rsidR="001B3DA8">
        <w:rPr>
          <w:rFonts w:ascii="Calibri" w:hAnsi="Calibri"/>
        </w:rPr>
        <w:t xml:space="preserve">s developed with input from </w:t>
      </w:r>
      <w:r>
        <w:rPr>
          <w:rFonts w:ascii="Calibri" w:hAnsi="Calibri"/>
        </w:rPr>
        <w:t>INI and GPNM and focused on demonstrating the available methods for reducing nitrous oxide emissions, as well as looking at the opportunities and barriers linked to the Green Economy</w:t>
      </w:r>
      <w:r w:rsidR="00166990">
        <w:rPr>
          <w:rFonts w:ascii="Calibri" w:hAnsi="Calibri"/>
        </w:rPr>
        <w:t>,</w:t>
      </w:r>
      <w:r>
        <w:rPr>
          <w:rFonts w:ascii="Calibri" w:hAnsi="Calibri"/>
        </w:rPr>
        <w:t xml:space="preserve"> and considering scenarios into the future. The conclusions emphasized the need to address nitrous oxide control in the wider context of the global nitrogen cycle.</w:t>
      </w:r>
    </w:p>
    <w:p w14:paraId="3BDC24D4" w14:textId="298DA72B" w:rsidR="00292ABD" w:rsidRDefault="00292ABD" w:rsidP="00292ABD">
      <w:pPr>
        <w:pStyle w:val="ListParagraph"/>
        <w:numPr>
          <w:ilvl w:val="0"/>
          <w:numId w:val="17"/>
        </w:numPr>
        <w:jc w:val="both"/>
        <w:rPr>
          <w:rFonts w:ascii="Calibri" w:hAnsi="Calibri"/>
        </w:rPr>
      </w:pPr>
      <w:r>
        <w:rPr>
          <w:rFonts w:ascii="Calibri" w:hAnsi="Calibri"/>
        </w:rPr>
        <w:t>The UN Framework Convention on Climate Change (UN FCCC) includes panels developing best practices for reporti</w:t>
      </w:r>
      <w:r w:rsidR="00166990">
        <w:rPr>
          <w:rFonts w:ascii="Calibri" w:hAnsi="Calibri"/>
        </w:rPr>
        <w:t>ng of greenhouse gas emissions.</w:t>
      </w:r>
      <w:r>
        <w:rPr>
          <w:rFonts w:ascii="Calibri" w:hAnsi="Calibri"/>
        </w:rPr>
        <w:t xml:space="preserve"> There are several commonalities here with nitrogen, not just in relation to nitrous oxide, but also in developing the systems needed for sound emissions reporting. In this regard</w:t>
      </w:r>
      <w:r w:rsidR="00166990">
        <w:rPr>
          <w:rFonts w:ascii="Calibri" w:hAnsi="Calibri"/>
        </w:rPr>
        <w:t>,</w:t>
      </w:r>
      <w:r>
        <w:rPr>
          <w:rFonts w:ascii="Calibri" w:hAnsi="Calibri"/>
        </w:rPr>
        <w:t xml:space="preserve"> the work of the UNFCCC strongly complements that of the Task Force on Emissions Inventories and Projections (TFEIP) of the UNECE EMEP process.</w:t>
      </w:r>
    </w:p>
    <w:p w14:paraId="13EF82F7" w14:textId="3C977534" w:rsidR="00292ABD" w:rsidRDefault="00166990" w:rsidP="00292ABD">
      <w:pPr>
        <w:pStyle w:val="ListParagraph"/>
        <w:numPr>
          <w:ilvl w:val="0"/>
          <w:numId w:val="17"/>
        </w:numPr>
        <w:jc w:val="both"/>
        <w:rPr>
          <w:rFonts w:ascii="Calibri" w:hAnsi="Calibri"/>
        </w:rPr>
      </w:pPr>
      <w:r>
        <w:rPr>
          <w:rFonts w:ascii="Calibri" w:hAnsi="Calibri"/>
        </w:rPr>
        <w:t xml:space="preserve">The </w:t>
      </w:r>
      <w:r w:rsidR="00292ABD">
        <w:rPr>
          <w:rFonts w:ascii="Calibri" w:hAnsi="Calibri"/>
        </w:rPr>
        <w:t>GEF/UNEP Global Nutrient Cycles project, on establishing the foundations for global nutrient management</w:t>
      </w:r>
      <w:r>
        <w:rPr>
          <w:rFonts w:ascii="Calibri" w:hAnsi="Calibri"/>
        </w:rPr>
        <w:t>,</w:t>
      </w:r>
      <w:r w:rsidR="00292ABD">
        <w:rPr>
          <w:rFonts w:ascii="Calibri" w:hAnsi="Calibri"/>
        </w:rPr>
        <w:t xml:space="preserve"> has been developing a Tool Box Approach listing different kinds of good practices for better nutrient management in the form of a web-based application. This can provide a useful source of information for future studies and complements more traditional ‘guidance document’ based approaches.  The project also developed the Lake Chilika report card, which </w:t>
      </w:r>
      <w:r w:rsidR="00CE5582">
        <w:rPr>
          <w:rFonts w:ascii="Calibri" w:hAnsi="Calibri"/>
        </w:rPr>
        <w:t>constitutes</w:t>
      </w:r>
      <w:r w:rsidR="00292ABD">
        <w:rPr>
          <w:rFonts w:ascii="Calibri" w:hAnsi="Calibri"/>
        </w:rPr>
        <w:t xml:space="preserve"> a visualization approach for summarizing key environmental indicators and showing how a site is performing in relation to these indicators. </w:t>
      </w:r>
    </w:p>
    <w:p w14:paraId="2F22780A" w14:textId="5DAD6CB8" w:rsidR="00292ABD" w:rsidRDefault="00292ABD" w:rsidP="00292ABD">
      <w:pPr>
        <w:pStyle w:val="ListParagraph"/>
        <w:numPr>
          <w:ilvl w:val="0"/>
          <w:numId w:val="17"/>
        </w:numPr>
        <w:jc w:val="both"/>
        <w:rPr>
          <w:rFonts w:ascii="Calibri" w:hAnsi="Calibri"/>
        </w:rPr>
      </w:pPr>
      <w:r>
        <w:rPr>
          <w:rFonts w:ascii="Calibri" w:hAnsi="Calibri"/>
        </w:rPr>
        <w:t xml:space="preserve">The </w:t>
      </w:r>
      <w:r w:rsidR="002076F0" w:rsidRPr="008228A1">
        <w:rPr>
          <w:rFonts w:ascii="Calibri" w:hAnsi="Calibri"/>
        </w:rPr>
        <w:t>Food and Agriculture Organization of the United Nations (</w:t>
      </w:r>
      <w:r>
        <w:rPr>
          <w:rFonts w:ascii="Calibri" w:hAnsi="Calibri"/>
        </w:rPr>
        <w:t>FAO</w:t>
      </w:r>
      <w:r w:rsidR="002076F0">
        <w:rPr>
          <w:rFonts w:ascii="Calibri" w:hAnsi="Calibri"/>
        </w:rPr>
        <w:t>)</w:t>
      </w:r>
      <w:r>
        <w:rPr>
          <w:rFonts w:ascii="Calibri" w:hAnsi="Calibri"/>
        </w:rPr>
        <w:t xml:space="preserve"> is developing guidance for better management of livestock systems, in particular through its Livestock Environmental Assessment and </w:t>
      </w:r>
      <w:r w:rsidR="00166990">
        <w:rPr>
          <w:rFonts w:ascii="Calibri" w:hAnsi="Calibri"/>
        </w:rPr>
        <w:t>Performance (LEAP) partnership.</w:t>
      </w:r>
      <w:r>
        <w:rPr>
          <w:rFonts w:ascii="Calibri" w:hAnsi="Calibri"/>
        </w:rPr>
        <w:t xml:space="preserve"> This includes development of guidance documents for the livestock sector where better nitrogen management can play a key role.</w:t>
      </w:r>
      <w:r w:rsidR="002076F0">
        <w:rPr>
          <w:rFonts w:ascii="Calibri" w:hAnsi="Calibri"/>
        </w:rPr>
        <w:t xml:space="preserve"> These documents complement wider outlook activities such as the FAO annual State of Food and Agriculture (SOFA) reports.</w:t>
      </w:r>
    </w:p>
    <w:p w14:paraId="252683F8" w14:textId="0614E7DC" w:rsidR="00003AF4" w:rsidRPr="002076F0" w:rsidRDefault="00003AF4" w:rsidP="008228A1">
      <w:pPr>
        <w:pStyle w:val="ListParagraph"/>
        <w:numPr>
          <w:ilvl w:val="0"/>
          <w:numId w:val="17"/>
        </w:numPr>
        <w:jc w:val="both"/>
        <w:rPr>
          <w:rFonts w:ascii="Calibri" w:hAnsi="Calibri"/>
        </w:rPr>
      </w:pPr>
      <w:r w:rsidRPr="008228A1">
        <w:rPr>
          <w:rFonts w:ascii="Calibri" w:hAnsi="Calibri"/>
        </w:rPr>
        <w:t>FAO has</w:t>
      </w:r>
      <w:r w:rsidR="002076F0">
        <w:rPr>
          <w:rFonts w:ascii="Calibri" w:hAnsi="Calibri"/>
        </w:rPr>
        <w:t xml:space="preserve"> also</w:t>
      </w:r>
      <w:r w:rsidRPr="008228A1">
        <w:rPr>
          <w:rFonts w:ascii="Calibri" w:hAnsi="Calibri"/>
        </w:rPr>
        <w:t xml:space="preserve"> commissioned a number of publications on fertilizer use by crop in different countries</w:t>
      </w:r>
      <w:r w:rsidR="008228A1" w:rsidRPr="008228A1">
        <w:rPr>
          <w:rFonts w:ascii="Calibri" w:hAnsi="Calibri"/>
        </w:rPr>
        <w:t xml:space="preserve">. The objective is to demonstrate the importance of information on fertilizer use by crop, on a national level </w:t>
      </w:r>
      <w:r w:rsidR="008228A1">
        <w:rPr>
          <w:rFonts w:ascii="Calibri" w:hAnsi="Calibri"/>
        </w:rPr>
        <w:t xml:space="preserve">and </w:t>
      </w:r>
      <w:r w:rsidR="008228A1" w:rsidRPr="008228A1">
        <w:rPr>
          <w:rFonts w:ascii="Calibri" w:hAnsi="Calibri"/>
        </w:rPr>
        <w:t>by agro-ecological zone. It also aims to demonstrate how the correct use of fertilizers could help to achieve some of the Sustainable Development Goals (SDGs) of the United Nations, i.e. eradicate extreme poverty and hunger</w:t>
      </w:r>
      <w:r w:rsidR="008228A1">
        <w:rPr>
          <w:rStyle w:val="FootnoteReference"/>
          <w:rFonts w:ascii="Calibri" w:hAnsi="Calibri"/>
        </w:rPr>
        <w:footnoteReference w:id="17"/>
      </w:r>
      <w:r w:rsidR="008228A1" w:rsidRPr="008228A1">
        <w:rPr>
          <w:rFonts w:ascii="Calibri" w:hAnsi="Calibri"/>
        </w:rPr>
        <w:t>.</w:t>
      </w:r>
    </w:p>
    <w:p w14:paraId="2814CC70" w14:textId="6810F5DB" w:rsidR="002076F0" w:rsidRDefault="002076F0" w:rsidP="002076F0">
      <w:pPr>
        <w:pStyle w:val="ListParagraph"/>
        <w:numPr>
          <w:ilvl w:val="0"/>
          <w:numId w:val="17"/>
        </w:numPr>
        <w:jc w:val="both"/>
        <w:rPr>
          <w:rFonts w:ascii="Calibri" w:hAnsi="Calibri"/>
        </w:rPr>
      </w:pPr>
      <w:r>
        <w:rPr>
          <w:rFonts w:ascii="Calibri" w:hAnsi="Calibri"/>
        </w:rPr>
        <w:t>The Long-range Transboundary Air Pollution (LRTAP) convention of the UNECE has published a revised guidance document</w:t>
      </w:r>
      <w:r w:rsidRPr="00166990">
        <w:rPr>
          <w:rFonts w:ascii="Calibri" w:hAnsi="Calibri"/>
        </w:rPr>
        <w:t xml:space="preserve"> </w:t>
      </w:r>
      <w:r>
        <w:rPr>
          <w:rFonts w:ascii="Calibri" w:hAnsi="Calibri"/>
        </w:rPr>
        <w:t xml:space="preserve">on methods to reduce ammonia emissions from agricultural </w:t>
      </w:r>
      <w:r>
        <w:rPr>
          <w:rFonts w:ascii="Calibri" w:hAnsi="Calibri"/>
        </w:rPr>
        <w:lastRenderedPageBreak/>
        <w:t>sources,</w:t>
      </w:r>
      <w:r>
        <w:rPr>
          <w:rStyle w:val="FootnoteReference"/>
          <w:rFonts w:ascii="Calibri" w:hAnsi="Calibri"/>
        </w:rPr>
        <w:footnoteReference w:id="18"/>
      </w:r>
      <w:r>
        <w:rPr>
          <w:rFonts w:ascii="Calibri" w:hAnsi="Calibri"/>
        </w:rPr>
        <w:t xml:space="preserve"> together with the accompanying UNECE Framework Code.</w:t>
      </w:r>
      <w:r>
        <w:rPr>
          <w:rStyle w:val="FootnoteReference"/>
          <w:rFonts w:ascii="Calibri" w:hAnsi="Calibri"/>
        </w:rPr>
        <w:footnoteReference w:id="19"/>
      </w:r>
      <w:r>
        <w:rPr>
          <w:rFonts w:ascii="Calibri" w:hAnsi="Calibri"/>
        </w:rPr>
        <w:t xml:space="preserve"> While the focus is on emissions to the atmosphere, these also include a sections on good nitrogen management across the nitrogen cycle in relation to all nitrogen sources and possible impacts. </w:t>
      </w:r>
    </w:p>
    <w:p w14:paraId="032258B2" w14:textId="4B18FD09" w:rsidR="00166990" w:rsidRPr="00E87D5A" w:rsidRDefault="00166990" w:rsidP="00001B31">
      <w:pPr>
        <w:pStyle w:val="ListParagraph"/>
        <w:numPr>
          <w:ilvl w:val="0"/>
          <w:numId w:val="17"/>
        </w:numPr>
        <w:jc w:val="both"/>
        <w:rPr>
          <w:rFonts w:ascii="Calibri" w:hAnsi="Calibri"/>
        </w:rPr>
      </w:pPr>
      <w:r w:rsidRPr="00166990">
        <w:rPr>
          <w:rFonts w:ascii="Calibri" w:hAnsi="Calibri"/>
          <w:b/>
          <w:highlight w:val="yellow"/>
        </w:rPr>
        <w:t>READER</w:t>
      </w:r>
      <w:r>
        <w:rPr>
          <w:rFonts w:ascii="Calibri" w:hAnsi="Calibri"/>
        </w:rPr>
        <w:t xml:space="preserve"> Add other examples if wanted.</w:t>
      </w:r>
    </w:p>
    <w:p w14:paraId="7715B81F" w14:textId="2044B828" w:rsidR="00A8397E" w:rsidRPr="00E87D5A" w:rsidRDefault="00292ABD" w:rsidP="00E87D5A">
      <w:pPr>
        <w:jc w:val="both"/>
        <w:rPr>
          <w:rFonts w:ascii="Calibri" w:hAnsi="Calibri"/>
        </w:rPr>
      </w:pPr>
      <w:r>
        <w:rPr>
          <w:rFonts w:ascii="Calibri" w:hAnsi="Calibri"/>
        </w:rPr>
        <w:t>These examples provide only a selection. However, they illustrate the diversity of relevant actions that provide the baseline for Towards INMS.  Other initiatives will be incorporated into the Towards INMS netw</w:t>
      </w:r>
      <w:r w:rsidR="00E87D5A">
        <w:rPr>
          <w:rFonts w:ascii="Calibri" w:hAnsi="Calibri"/>
        </w:rPr>
        <w:t>orking as the project develops</w:t>
      </w:r>
      <w:r w:rsidR="00A8397E">
        <w:t>.</w:t>
      </w:r>
    </w:p>
    <w:p w14:paraId="72F06364" w14:textId="77777777" w:rsidR="00083B24" w:rsidRDefault="00083B24" w:rsidP="00083B24">
      <w:pPr>
        <w:rPr>
          <w:b/>
        </w:rPr>
      </w:pPr>
    </w:p>
    <w:p w14:paraId="6DC2EE67" w14:textId="1F7EB1A8" w:rsidR="00083B24" w:rsidRDefault="00083B24" w:rsidP="00083B24">
      <w:pPr>
        <w:pStyle w:val="Heading3"/>
      </w:pPr>
      <w:bookmarkStart w:id="8" w:name="_Toc442303832"/>
      <w:r>
        <w:t>Gaps</w:t>
      </w:r>
      <w:bookmarkEnd w:id="8"/>
    </w:p>
    <w:p w14:paraId="52D0634F" w14:textId="77777777" w:rsidR="00083B24" w:rsidRDefault="00083B24" w:rsidP="00083B24"/>
    <w:p w14:paraId="5A723958" w14:textId="0EC5D904" w:rsidR="00083B24" w:rsidRDefault="00083B24" w:rsidP="00083B24">
      <w:r>
        <w:t>The main gaps in relation to Component 2 are as follows:</w:t>
      </w:r>
    </w:p>
    <w:p w14:paraId="57232633" w14:textId="3D85D1E4" w:rsidR="00083B24" w:rsidRDefault="003C4463" w:rsidP="00083B24">
      <w:pPr>
        <w:pStyle w:val="ListParagraph"/>
        <w:numPr>
          <w:ilvl w:val="0"/>
          <w:numId w:val="16"/>
        </w:numPr>
      </w:pPr>
      <w:r>
        <w:t xml:space="preserve">A </w:t>
      </w:r>
      <w:r w:rsidR="009E73E8" w:rsidRPr="009E73E8">
        <w:rPr>
          <w:b/>
        </w:rPr>
        <w:t>coherent suite of nitrogen flow and impact models</w:t>
      </w:r>
      <w:r w:rsidR="009E73E8">
        <w:t xml:space="preserve"> </w:t>
      </w:r>
      <w:r>
        <w:t xml:space="preserve">is currently missing </w:t>
      </w:r>
      <w:r w:rsidR="009E73E8">
        <w:t>to provide</w:t>
      </w:r>
      <w:r w:rsidR="00CE5582">
        <w:t xml:space="preserve"> a</w:t>
      </w:r>
      <w:r w:rsidR="009E73E8">
        <w:t xml:space="preserve"> clear picture of how nitrogen leads to multiple benefits and threats for society, linking environment (water, air, climate, biodiversity, health), food and energy outcomes.</w:t>
      </w:r>
      <w:r>
        <w:t xml:space="preserve">  Such an agreed suite needs to be assembled that develops broad approval as an authoritative source of information about the nitrogen cycle. </w:t>
      </w:r>
      <w:r w:rsidR="009E73E8">
        <w:t xml:space="preserve"> </w:t>
      </w:r>
    </w:p>
    <w:p w14:paraId="7F7EFA08" w14:textId="0CB16DE0" w:rsidR="00B70C27" w:rsidRDefault="008228A1" w:rsidP="00083B24">
      <w:pPr>
        <w:pStyle w:val="ListParagraph"/>
        <w:numPr>
          <w:ilvl w:val="0"/>
          <w:numId w:val="16"/>
        </w:numPr>
      </w:pPr>
      <w:r>
        <w:t>Effec</w:t>
      </w:r>
      <w:r w:rsidR="003C4463">
        <w:t xml:space="preserve">ts of </w:t>
      </w:r>
      <w:r w:rsidR="003C4463" w:rsidRPr="003C4463">
        <w:rPr>
          <w:b/>
        </w:rPr>
        <w:t>food trade, land grabbing and</w:t>
      </w:r>
      <w:r w:rsidRPr="003C4463">
        <w:rPr>
          <w:b/>
        </w:rPr>
        <w:t xml:space="preserve"> Trans-National Corporations</w:t>
      </w:r>
      <w:r>
        <w:t xml:space="preserve"> on the efficiency of nitrogen use</w:t>
      </w:r>
      <w:r w:rsidR="00B70C27">
        <w:t>,</w:t>
      </w:r>
      <w:r>
        <w:t xml:space="preserve"> recycling </w:t>
      </w:r>
      <w:r w:rsidR="00B70C27">
        <w:t>and losses are not well understood and captured in current modelling approaches.</w:t>
      </w:r>
    </w:p>
    <w:p w14:paraId="7AFD9B77" w14:textId="4860760F" w:rsidR="00083B24" w:rsidRDefault="003C4463" w:rsidP="00083B24">
      <w:pPr>
        <w:pStyle w:val="ListParagraph"/>
        <w:numPr>
          <w:ilvl w:val="0"/>
          <w:numId w:val="16"/>
        </w:numPr>
      </w:pPr>
      <w:r>
        <w:t>A</w:t>
      </w:r>
      <w:r w:rsidR="00166990">
        <w:t xml:space="preserve"> </w:t>
      </w:r>
      <w:r w:rsidR="00166990">
        <w:rPr>
          <w:b/>
        </w:rPr>
        <w:t xml:space="preserve">synthesis on </w:t>
      </w:r>
      <w:r w:rsidR="009E73E8" w:rsidRPr="009E73E8">
        <w:rPr>
          <w:b/>
        </w:rPr>
        <w:t>the current flows, impacts, mitigation options, consequences of not taking action and the opportunities for change</w:t>
      </w:r>
      <w:r>
        <w:t xml:space="preserve"> is currently missing t</w:t>
      </w:r>
      <w:r w:rsidR="009E73E8">
        <w:t>hat can support policy development, better manageme</w:t>
      </w:r>
      <w:r w:rsidR="00166990">
        <w:t>nt and transformational change.</w:t>
      </w:r>
    </w:p>
    <w:p w14:paraId="34791FC6" w14:textId="4583023F" w:rsidR="009E73E8" w:rsidRDefault="00166990" w:rsidP="009E73E8">
      <w:pPr>
        <w:pStyle w:val="ListParagraph"/>
        <w:numPr>
          <w:ilvl w:val="0"/>
          <w:numId w:val="16"/>
        </w:numPr>
      </w:pPr>
      <w:r>
        <w:t xml:space="preserve">There is currently no available </w:t>
      </w:r>
      <w:r w:rsidRPr="00166990">
        <w:rPr>
          <w:b/>
        </w:rPr>
        <w:t>guidance for</w:t>
      </w:r>
      <w:r>
        <w:t xml:space="preserve"> </w:t>
      </w:r>
      <w:r>
        <w:rPr>
          <w:b/>
        </w:rPr>
        <w:t>joined-</w:t>
      </w:r>
      <w:r w:rsidR="009E73E8" w:rsidRPr="009E73E8">
        <w:rPr>
          <w:b/>
        </w:rPr>
        <w:t>up management of the nitrogen cycle</w:t>
      </w:r>
      <w:r w:rsidR="009E73E8">
        <w:t>, bearing in mind the multiple co-benefits.</w:t>
      </w:r>
    </w:p>
    <w:p w14:paraId="66545874" w14:textId="45AA9242" w:rsidR="009E73E8" w:rsidRDefault="00166990" w:rsidP="009E73E8">
      <w:pPr>
        <w:pStyle w:val="ListParagraph"/>
        <w:numPr>
          <w:ilvl w:val="0"/>
          <w:numId w:val="16"/>
        </w:numPr>
      </w:pPr>
      <w:r>
        <w:t xml:space="preserve">There is no coordinated set of </w:t>
      </w:r>
      <w:r w:rsidR="009E73E8" w:rsidRPr="009E73E8">
        <w:rPr>
          <w:b/>
        </w:rPr>
        <w:t>storylines and scenarios</w:t>
      </w:r>
      <w:r w:rsidR="009E73E8">
        <w:t xml:space="preserve"> in relation to the multiple benefits and threats of nitrogen. </w:t>
      </w:r>
    </w:p>
    <w:p w14:paraId="045F8DAD" w14:textId="0196A67D" w:rsidR="009E73E8" w:rsidRDefault="00166990" w:rsidP="009E73E8">
      <w:pPr>
        <w:pStyle w:val="ListParagraph"/>
        <w:numPr>
          <w:ilvl w:val="0"/>
          <w:numId w:val="16"/>
        </w:numPr>
      </w:pPr>
      <w:r>
        <w:t xml:space="preserve">Information from </w:t>
      </w:r>
      <w:r w:rsidR="009E73E8" w:rsidRPr="009E73E8">
        <w:rPr>
          <w:b/>
        </w:rPr>
        <w:t>interventions for better nitrogen management</w:t>
      </w:r>
      <w:r w:rsidR="009E73E8">
        <w:t>, including achievement throu</w:t>
      </w:r>
      <w:r w:rsidR="0089723F">
        <w:t xml:space="preserve">gh GEF and other interventions has not been brought together. </w:t>
      </w:r>
    </w:p>
    <w:p w14:paraId="0210F9D5" w14:textId="77777777" w:rsidR="00083B24" w:rsidRDefault="00083B24" w:rsidP="00083B24"/>
    <w:p w14:paraId="10B4D0C9" w14:textId="03BA783A" w:rsidR="00083B24" w:rsidRPr="00083B24" w:rsidRDefault="00083B24" w:rsidP="00083B24">
      <w:pPr>
        <w:rPr>
          <w:b/>
        </w:rPr>
      </w:pPr>
      <w:r w:rsidRPr="00083B24">
        <w:rPr>
          <w:b/>
        </w:rPr>
        <w:t>Additional funding</w:t>
      </w:r>
    </w:p>
    <w:p w14:paraId="4AE15686" w14:textId="1E2BCD78" w:rsidR="00083B24" w:rsidRDefault="00083B24" w:rsidP="00083B24">
      <w:r>
        <w:t>Further funding is needed to develop each of these areas.  This Component provides a start to address these issues. At the same time the activity provides a framework that can catalyse the development of parallel funding initiatives to further strengthen the global critical mass.   Examples of new initiatives that will complement the work include:</w:t>
      </w:r>
    </w:p>
    <w:p w14:paraId="41C12FAA" w14:textId="77777777" w:rsidR="00083B24" w:rsidRDefault="00083B24" w:rsidP="00083B24">
      <w:pPr>
        <w:pStyle w:val="ListParagraph"/>
        <w:numPr>
          <w:ilvl w:val="0"/>
          <w:numId w:val="17"/>
        </w:numPr>
      </w:pPr>
      <w:r w:rsidRPr="00F220BD">
        <w:rPr>
          <w:b/>
        </w:rPr>
        <w:t>INMS Pump Priming:</w:t>
      </w:r>
      <w:r>
        <w:t xml:space="preserve">  This UK NERC project aims to develop the basis for nitrogen integrated assessment modelling through funding workshops and network development. (A first workshop was already held during 2015 to support the INMS project preparation phase).</w:t>
      </w:r>
    </w:p>
    <w:p w14:paraId="49FDDF26" w14:textId="67702319" w:rsidR="00A6487B" w:rsidRDefault="00A6487B" w:rsidP="00083B24">
      <w:pPr>
        <w:pStyle w:val="ListParagraph"/>
        <w:numPr>
          <w:ilvl w:val="0"/>
          <w:numId w:val="17"/>
        </w:numPr>
      </w:pPr>
      <w:r>
        <w:rPr>
          <w:b/>
        </w:rPr>
        <w:lastRenderedPageBreak/>
        <w:t>TFRN Guidance on nitrogen management for co-benefits to air, climate, water and biodiversity</w:t>
      </w:r>
      <w:r>
        <w:t xml:space="preserve">: Outline funding is agreed with the EU to fund a workshop on options for better nitrogen management for multiple co-benefits, which will contribute directly to A2.3. </w:t>
      </w:r>
    </w:p>
    <w:p w14:paraId="2B4E768F" w14:textId="36847739" w:rsidR="00083B24" w:rsidRDefault="00083B24" w:rsidP="00083B24">
      <w:pPr>
        <w:pStyle w:val="ListParagraph"/>
        <w:numPr>
          <w:ilvl w:val="0"/>
          <w:numId w:val="17"/>
        </w:numPr>
      </w:pPr>
      <w:r w:rsidRPr="00BD3500">
        <w:rPr>
          <w:b/>
        </w:rPr>
        <w:t>NEWS India-UK:</w:t>
      </w:r>
      <w:r>
        <w:t xml:space="preserve">  This project to be funded by the Newton-Bhabha fund supports bi-lateral research between these two countries, addressing the Nitrogen Efficiency of Whole-cropping Systems (NEWS India-UK).  In particular it will address the extent to which there are co-benefits to be found by linking improvement strategies for plant NUE, agronomic NUE, farm-scale NUE and national scale NUE. </w:t>
      </w:r>
    </w:p>
    <w:p w14:paraId="52935447" w14:textId="7A6110DA" w:rsidR="00B70C27" w:rsidRPr="003C4463" w:rsidRDefault="00B70C27" w:rsidP="00083B24">
      <w:pPr>
        <w:pStyle w:val="ListParagraph"/>
        <w:numPr>
          <w:ilvl w:val="0"/>
          <w:numId w:val="17"/>
        </w:numPr>
      </w:pPr>
      <w:r w:rsidRPr="003C4463">
        <w:t xml:space="preserve">PhD studies at </w:t>
      </w:r>
      <w:r w:rsidRPr="003C4463">
        <w:rPr>
          <w:b/>
        </w:rPr>
        <w:t xml:space="preserve">Wageningen University </w:t>
      </w:r>
      <w:r w:rsidRPr="003C4463">
        <w:t>dealing with the effects of globalization of food production on the efficiency of nitrogen use at global and regional levels</w:t>
      </w:r>
    </w:p>
    <w:p w14:paraId="78D061D8" w14:textId="2C8B3B5B" w:rsidR="00B70C27" w:rsidRPr="003C4463" w:rsidRDefault="00B70C27" w:rsidP="00B70C27">
      <w:pPr>
        <w:pStyle w:val="ListParagraph"/>
        <w:numPr>
          <w:ilvl w:val="0"/>
          <w:numId w:val="17"/>
        </w:numPr>
      </w:pPr>
      <w:r w:rsidRPr="003C4463">
        <w:t xml:space="preserve">The </w:t>
      </w:r>
      <w:r w:rsidRPr="003C4463">
        <w:rPr>
          <w:b/>
        </w:rPr>
        <w:t>EU Nitrogen Expert Panel</w:t>
      </w:r>
      <w:r w:rsidRPr="003C4463">
        <w:t xml:space="preserve"> aims to contribute to improving nitrogen use efficiency (NUE) in food systems in Europe, through (i) communicating a vision and strategies on how to improve NUE in agriculture and food systems; (ii) generating new ideas, and recommending effective proposals and solutions; and by (iii) acting as referee in controversial issues, and by communicating with authority about nitrogen issues.</w:t>
      </w:r>
    </w:p>
    <w:p w14:paraId="7C2711B4" w14:textId="77777777" w:rsidR="00083B24" w:rsidRPr="00B7395B" w:rsidRDefault="00083B24" w:rsidP="00083B24">
      <w:pPr>
        <w:pStyle w:val="ListParagraph"/>
        <w:numPr>
          <w:ilvl w:val="0"/>
          <w:numId w:val="17"/>
        </w:numPr>
        <w:rPr>
          <w:highlight w:val="yellow"/>
        </w:rPr>
      </w:pPr>
      <w:r w:rsidRPr="00B7395B">
        <w:rPr>
          <w:b/>
          <w:highlight w:val="yellow"/>
        </w:rPr>
        <w:t xml:space="preserve">READER: </w:t>
      </w:r>
      <w:r w:rsidRPr="00B7395B">
        <w:rPr>
          <w:highlight w:val="yellow"/>
        </w:rPr>
        <w:t xml:space="preserve">add a short paragraph about other confirmed new funding </w:t>
      </w:r>
      <w:r>
        <w:rPr>
          <w:highlight w:val="yellow"/>
        </w:rPr>
        <w:t xml:space="preserve">project </w:t>
      </w:r>
      <w:r w:rsidRPr="00B7395B">
        <w:rPr>
          <w:highlight w:val="yellow"/>
        </w:rPr>
        <w:t>if known.</w:t>
      </w:r>
    </w:p>
    <w:p w14:paraId="01DF2AB8" w14:textId="77777777" w:rsidR="00083B24" w:rsidRDefault="00083B24" w:rsidP="00083B24">
      <w:r>
        <w:t xml:space="preserve">Other projects linking to INMS are coming on-stream (e.g. including Newton fund projects) that will further develop the underpinning of the developments in Towards INMS. </w:t>
      </w:r>
    </w:p>
    <w:p w14:paraId="0D0087AD" w14:textId="77777777" w:rsidR="00A6487B" w:rsidRDefault="00A6487B" w:rsidP="00A6487B">
      <w:pPr>
        <w:pStyle w:val="Heading3"/>
      </w:pPr>
      <w:bookmarkStart w:id="9" w:name="_Toc418587963"/>
      <w:bookmarkStart w:id="10" w:name="_Toc437721929"/>
      <w:bookmarkStart w:id="11" w:name="_Toc442303833"/>
      <w:r>
        <w:t>Stakeholder analysis</w:t>
      </w:r>
      <w:bookmarkEnd w:id="9"/>
      <w:bookmarkEnd w:id="10"/>
      <w:bookmarkEnd w:id="11"/>
    </w:p>
    <w:p w14:paraId="6861B237" w14:textId="36C38928" w:rsidR="00A6487B" w:rsidRDefault="00A6487B" w:rsidP="00A6487B">
      <w:pPr>
        <w:rPr>
          <w:color w:val="000000" w:themeColor="text1"/>
        </w:rPr>
      </w:pPr>
      <w:r>
        <w:rPr>
          <w:color w:val="000000" w:themeColor="text1"/>
        </w:rPr>
        <w:t xml:space="preserve">The main stakeholders for Component 2 are </w:t>
      </w:r>
      <w:r w:rsidR="00B42246">
        <w:rPr>
          <w:color w:val="000000" w:themeColor="text1"/>
        </w:rPr>
        <w:t xml:space="preserve">institutions and businesses that are active in releasing nutrients and, specifically, nitrogen compounds to the environment, or institutions/businesses that are affected by resulting impacts. These stakeholders benefit from an improved </w:t>
      </w:r>
      <w:r w:rsidR="00B70C27">
        <w:rPr>
          <w:color w:val="000000" w:themeColor="text1"/>
        </w:rPr>
        <w:t>guidance on good nitrogen management practices, overall scie</w:t>
      </w:r>
      <w:r w:rsidR="0000345D">
        <w:rPr>
          <w:color w:val="000000" w:themeColor="text1"/>
        </w:rPr>
        <w:t>nce synthesis and communication</w:t>
      </w:r>
      <w:r>
        <w:rPr>
          <w:color w:val="000000" w:themeColor="text1"/>
        </w:rPr>
        <w:t xml:space="preserve">. Work therefore has high relevance to a wide range of stakeholders, </w:t>
      </w:r>
      <w:r w:rsidR="0089723F">
        <w:rPr>
          <w:color w:val="000000" w:themeColor="text1"/>
        </w:rPr>
        <w:t xml:space="preserve">providing underpinning to support </w:t>
      </w:r>
      <w:r>
        <w:rPr>
          <w:color w:val="000000" w:themeColor="text1"/>
        </w:rPr>
        <w:t xml:space="preserve">Component </w:t>
      </w:r>
      <w:r w:rsidR="0089723F">
        <w:rPr>
          <w:color w:val="000000" w:themeColor="text1"/>
        </w:rPr>
        <w:t xml:space="preserve">4 </w:t>
      </w:r>
      <w:r>
        <w:rPr>
          <w:color w:val="000000" w:themeColor="text1"/>
        </w:rPr>
        <w:t xml:space="preserve">on awareness raising and knowledge sharing. </w:t>
      </w:r>
    </w:p>
    <w:p w14:paraId="06FED4EE" w14:textId="494B8E2B" w:rsidR="00A6487B" w:rsidRDefault="00A6487B" w:rsidP="00A6487B">
      <w:pPr>
        <w:rPr>
          <w:color w:val="000000" w:themeColor="text1"/>
        </w:rPr>
      </w:pPr>
      <w:r>
        <w:rPr>
          <w:color w:val="000000" w:themeColor="text1"/>
        </w:rPr>
        <w:t xml:space="preserve">Key </w:t>
      </w:r>
      <w:r w:rsidR="0089723F">
        <w:rPr>
          <w:color w:val="000000" w:themeColor="text1"/>
        </w:rPr>
        <w:t>s</w:t>
      </w:r>
      <w:r>
        <w:rPr>
          <w:color w:val="000000" w:themeColor="text1"/>
        </w:rPr>
        <w:t>takeholders in Component 2 can be summarized under the following headings:</w:t>
      </w:r>
    </w:p>
    <w:p w14:paraId="52A8D4A7" w14:textId="77777777" w:rsidR="00B70C27" w:rsidRDefault="00B70C27" w:rsidP="00B70C27">
      <w:pPr>
        <w:rPr>
          <w:color w:val="000000" w:themeColor="text1"/>
        </w:rPr>
      </w:pPr>
      <w:r>
        <w:rPr>
          <w:b/>
          <w:color w:val="000000" w:themeColor="text1"/>
        </w:rPr>
        <w:t xml:space="preserve">Guidance on better nitrogen management and collation of existing knowledge: </w:t>
      </w:r>
      <w:r>
        <w:t xml:space="preserve">UNEP, GEF, LRTAP, TFRN, CBD, IPCC, GPA, GPNM, OECD, FAO, WHO, EU-NEP, SDSN, </w:t>
      </w:r>
      <w:r>
        <w:rPr>
          <w:color w:val="000000" w:themeColor="text1"/>
        </w:rPr>
        <w:t>industries (e.g. fertilizer industry, farming organizations, water management organizations, nature management organizations), NGOs and countries contributing to these processes.</w:t>
      </w:r>
    </w:p>
    <w:p w14:paraId="0E86BEA9" w14:textId="77777777" w:rsidR="006A3E26" w:rsidRDefault="006A3E26" w:rsidP="006A3E26">
      <w:r w:rsidRPr="00DD73DD">
        <w:rPr>
          <w:b/>
          <w:color w:val="000000" w:themeColor="text1"/>
        </w:rPr>
        <w:t>Private Sector:</w:t>
      </w:r>
      <w:r>
        <w:rPr>
          <w:b/>
          <w:color w:val="000000" w:themeColor="text1"/>
        </w:rPr>
        <w:t xml:space="preserve">  </w:t>
      </w:r>
      <w:r>
        <w:t xml:space="preserve">The private sector provides a sounding board in relation to their own business interests and what opportunities they see to strengthen competitiveness.  Several business organizations are included including the International Fertilizers Manufacturers Association, Fertilizers Europe, BASF, Yara, the International Plant Nutrition Institute, as well as other business organizations such as the European Federation of Agricultural Engineers, with farmer groups being involved through Component 3.  </w:t>
      </w:r>
    </w:p>
    <w:p w14:paraId="793B65FB" w14:textId="452556B2" w:rsidR="00A6487B" w:rsidRDefault="00A6487B" w:rsidP="00A6487B">
      <w:pPr>
        <w:rPr>
          <w:color w:val="000000" w:themeColor="text1"/>
        </w:rPr>
      </w:pPr>
      <w:r>
        <w:rPr>
          <w:b/>
          <w:color w:val="000000" w:themeColor="text1"/>
        </w:rPr>
        <w:t xml:space="preserve">Global assessment of N fluxes, pathways and impacts:  </w:t>
      </w:r>
      <w:r>
        <w:t>UNEP, including UNEA,</w:t>
      </w:r>
      <w:r w:rsidR="00292ABD">
        <w:t xml:space="preserve"> GEF,</w:t>
      </w:r>
      <w:r>
        <w:t xml:space="preserve"> LRTAP, CBD, IPCC, IBPES, GPA, GPNM, OECD, </w:t>
      </w:r>
      <w:r w:rsidR="00292ABD">
        <w:t xml:space="preserve">WMO, </w:t>
      </w:r>
      <w:r>
        <w:t>WHO, SCOPE and Future Earth, as well as</w:t>
      </w:r>
      <w:r w:rsidRPr="00A6487B">
        <w:t xml:space="preserve"> the</w:t>
      </w:r>
      <w:r>
        <w:rPr>
          <w:b/>
          <w:color w:val="000000" w:themeColor="text1"/>
        </w:rPr>
        <w:t xml:space="preserve"> </w:t>
      </w:r>
      <w:r>
        <w:rPr>
          <w:color w:val="000000" w:themeColor="text1"/>
        </w:rPr>
        <w:t>various science groups (partners), industries (e.g. fertilizer industry, farming organizations, water management organizations, nature management organizations), NGOs and countries contributing to these processes.</w:t>
      </w:r>
    </w:p>
    <w:p w14:paraId="0D48DDD4" w14:textId="77777777" w:rsidR="00B70C27" w:rsidRDefault="00B70C27" w:rsidP="00B70C27">
      <w:pPr>
        <w:rPr>
          <w:color w:val="000000" w:themeColor="text1"/>
        </w:rPr>
      </w:pPr>
      <w:r w:rsidRPr="00AC2DF7">
        <w:rPr>
          <w:b/>
          <w:color w:val="000000" w:themeColor="text1"/>
        </w:rPr>
        <w:t>Global and regional modelling of the nitrogen cycle:</w:t>
      </w:r>
      <w:r>
        <w:rPr>
          <w:color w:val="000000" w:themeColor="text1"/>
        </w:rPr>
        <w:t xml:space="preserve">  INI, Future Earth, SCOPE, LRTAP Hemispheric Task Force (HTAP), LOICZ, implemented through partner members.</w:t>
      </w:r>
    </w:p>
    <w:p w14:paraId="20BF15BC" w14:textId="7299E4C1" w:rsidR="00292ABD" w:rsidRDefault="00292ABD" w:rsidP="00292ABD">
      <w:pPr>
        <w:rPr>
          <w:color w:val="000000" w:themeColor="text1"/>
        </w:rPr>
      </w:pPr>
      <w:r w:rsidRPr="00292ABD">
        <w:rPr>
          <w:b/>
          <w:color w:val="000000" w:themeColor="text1"/>
        </w:rPr>
        <w:lastRenderedPageBreak/>
        <w:t>Development of future storylines and scenarios:</w:t>
      </w:r>
      <w:r>
        <w:t xml:space="preserve"> UNEP, OECD, IPCC, LRTAP, GPA, CBD, GEF, TFRN, GPNM, FAO, WHO, </w:t>
      </w:r>
      <w:r>
        <w:rPr>
          <w:color w:val="000000" w:themeColor="text1"/>
        </w:rPr>
        <w:t>industries (e.g. fertilizer industry, farming organizations, water management organizations, nature management organizations), NGOs and countries contributing to these processes.</w:t>
      </w:r>
    </w:p>
    <w:p w14:paraId="1A27216F" w14:textId="77777777" w:rsidR="00A6487B" w:rsidRDefault="00A6487B" w:rsidP="00A6487B">
      <w:pPr>
        <w:rPr>
          <w:color w:val="000000" w:themeColor="text1"/>
        </w:rPr>
      </w:pPr>
      <w:r>
        <w:rPr>
          <w:color w:val="000000" w:themeColor="text1"/>
        </w:rPr>
        <w:t>The roles of the different stakeholder groups can be summarized as follows:</w:t>
      </w:r>
    </w:p>
    <w:p w14:paraId="6A3A6707" w14:textId="77777777" w:rsidR="00A6487B" w:rsidRDefault="00A6487B" w:rsidP="00A6487B">
      <w:pPr>
        <w:rPr>
          <w:color w:val="000000" w:themeColor="text1"/>
        </w:rPr>
      </w:pPr>
      <w:r w:rsidRPr="00DD73DD">
        <w:rPr>
          <w:b/>
          <w:color w:val="000000" w:themeColor="text1"/>
        </w:rPr>
        <w:t>Government and international agreements</w:t>
      </w:r>
      <w:r>
        <w:rPr>
          <w:color w:val="000000" w:themeColor="text1"/>
        </w:rPr>
        <w:t>:  The international agreements provide a mechanism for INMS to engage with governments, mobilizing them with the opportunities offered by better nitrogen management. In this sense they represent both users of the work and a source of international advice and feedback on priorities for action.  In practice, representatives of these processes provide advice to Towards INMS, while INMS reaches out to support their processes.</w:t>
      </w:r>
    </w:p>
    <w:p w14:paraId="377B455C" w14:textId="0F435AE5" w:rsidR="00292ABD" w:rsidRPr="00292ABD" w:rsidRDefault="00292ABD" w:rsidP="00A6487B">
      <w:r w:rsidRPr="00292ABD">
        <w:rPr>
          <w:b/>
          <w:color w:val="000000" w:themeColor="text1"/>
        </w:rPr>
        <w:t>International Science Community</w:t>
      </w:r>
      <w:r>
        <w:rPr>
          <w:b/>
          <w:color w:val="000000" w:themeColor="text1"/>
        </w:rPr>
        <w:t>:</w:t>
      </w:r>
      <w:r>
        <w:t xml:space="preserve"> This is represented particularly by INI as a body linked to SCOPE and Future Earth. The science community is also linked through other evidence gathering processes including TFRN, IPCC and IPBES.</w:t>
      </w:r>
    </w:p>
    <w:p w14:paraId="682501E8" w14:textId="77777777" w:rsidR="0000345D" w:rsidRDefault="00A6487B" w:rsidP="00A6487B">
      <w:r w:rsidRPr="00B7395B">
        <w:rPr>
          <w:b/>
        </w:rPr>
        <w:t>Wider stakeholder involvement with NGOs</w:t>
      </w:r>
      <w:r>
        <w:t xml:space="preserve"> will particularly come through Components 3 and 4. However, relevant stakeholders in relation to the methods include Future Earth and the Planetary Boundaries Initiative.  </w:t>
      </w:r>
    </w:p>
    <w:p w14:paraId="62F7974F" w14:textId="6EC710D9" w:rsidR="00A6487B" w:rsidRDefault="00A6487B" w:rsidP="00A6487B">
      <w:r w:rsidRPr="00B7395B">
        <w:rPr>
          <w:highlight w:val="yellow"/>
        </w:rPr>
        <w:t>(</w:t>
      </w:r>
      <w:r w:rsidRPr="00B7395B">
        <w:rPr>
          <w:b/>
          <w:highlight w:val="yellow"/>
        </w:rPr>
        <w:t>READER:</w:t>
      </w:r>
      <w:r w:rsidRPr="00B7395B">
        <w:rPr>
          <w:highlight w:val="yellow"/>
        </w:rPr>
        <w:t xml:space="preserve"> Add more here if you like)</w:t>
      </w:r>
    </w:p>
    <w:p w14:paraId="23A30E4E" w14:textId="77777777" w:rsidR="00083B24" w:rsidRDefault="00083B24" w:rsidP="00083B24"/>
    <w:p w14:paraId="6B0ED176" w14:textId="77777777" w:rsidR="00083B24" w:rsidRPr="00083B24" w:rsidRDefault="00083B24" w:rsidP="00083B24"/>
    <w:p w14:paraId="71870CEB" w14:textId="4EC29CD4" w:rsidR="004C34C5" w:rsidRDefault="004C34C5" w:rsidP="004C34C5">
      <w:pPr>
        <w:pStyle w:val="Heading2"/>
      </w:pPr>
      <w:bookmarkStart w:id="12" w:name="_Toc442303834"/>
      <w:r>
        <w:t>Overall objective and outcome</w:t>
      </w:r>
      <w:bookmarkEnd w:id="12"/>
    </w:p>
    <w:p w14:paraId="1B07544C" w14:textId="77777777" w:rsidR="004C34C5" w:rsidRDefault="004C34C5" w:rsidP="004C34C5"/>
    <w:p w14:paraId="678A59DC" w14:textId="1A5A8F82" w:rsidR="00FE0122" w:rsidRDefault="00FE0122" w:rsidP="00FE0122">
      <w:pPr>
        <w:rPr>
          <w:color w:val="000000" w:themeColor="text1"/>
        </w:rPr>
      </w:pPr>
      <w:r>
        <w:t xml:space="preserve">Component 2 forms a key part of Towards INMS contributing to its </w:t>
      </w:r>
      <w:r w:rsidRPr="001D54BE">
        <w:rPr>
          <w:b/>
        </w:rPr>
        <w:t>Overall Project Objective:</w:t>
      </w:r>
      <w:r>
        <w:t xml:space="preserve"> </w:t>
      </w:r>
      <w:r>
        <w:br/>
      </w:r>
      <w:r w:rsidRPr="00B7395B">
        <w:rPr>
          <w:i/>
          <w:color w:val="000000" w:themeColor="text1"/>
        </w:rPr>
        <w:t xml:space="preserve">To improve the understanding of the global/region N cycle and investigate / test practices and management policies at the regional, national and local levels with a view to </w:t>
      </w:r>
      <w:r w:rsidR="006A3E26">
        <w:rPr>
          <w:i/>
          <w:color w:val="000000" w:themeColor="text1"/>
        </w:rPr>
        <w:t xml:space="preserve">increase the benefits </w:t>
      </w:r>
      <w:r w:rsidR="0000345D">
        <w:rPr>
          <w:i/>
          <w:color w:val="000000" w:themeColor="text1"/>
        </w:rPr>
        <w:t xml:space="preserve">and </w:t>
      </w:r>
      <w:r w:rsidRPr="00B7395B">
        <w:rPr>
          <w:i/>
          <w:color w:val="000000" w:themeColor="text1"/>
        </w:rPr>
        <w:t>reduce negative impacts of reactive nitrogen on the ecosystems</w:t>
      </w:r>
      <w:r>
        <w:rPr>
          <w:i/>
          <w:color w:val="000000" w:themeColor="text1"/>
        </w:rPr>
        <w:t>.</w:t>
      </w:r>
    </w:p>
    <w:p w14:paraId="41A64E06" w14:textId="60C5FA73" w:rsidR="00FE0122" w:rsidRPr="000D6D4A" w:rsidRDefault="00FE0122" w:rsidP="00FE0122">
      <w:pPr>
        <w:rPr>
          <w:color w:val="000000" w:themeColor="text1"/>
        </w:rPr>
      </w:pPr>
      <w:r>
        <w:rPr>
          <w:color w:val="000000" w:themeColor="text1"/>
        </w:rPr>
        <w:t>Specifically Component 2 will lead to the following outcome:</w:t>
      </w:r>
    </w:p>
    <w:p w14:paraId="25AB3E41" w14:textId="3161FC2A" w:rsidR="00FE0122" w:rsidRPr="0089723F" w:rsidRDefault="0000345D" w:rsidP="00FE0122">
      <w:pPr>
        <w:rPr>
          <w:i/>
        </w:rPr>
      </w:pPr>
      <w:r>
        <w:rPr>
          <w:b/>
        </w:rPr>
        <w:t xml:space="preserve">Overall </w:t>
      </w:r>
      <w:r w:rsidR="00FE0122" w:rsidRPr="008A62FA">
        <w:rPr>
          <w:b/>
        </w:rPr>
        <w:t xml:space="preserve">Outcome </w:t>
      </w:r>
      <w:r>
        <w:rPr>
          <w:b/>
        </w:rPr>
        <w:t>2:</w:t>
      </w:r>
      <w:r w:rsidR="00FE0122" w:rsidRPr="008A62FA">
        <w:t xml:space="preserve"> </w:t>
      </w:r>
      <w:r w:rsidR="00FE0122" w:rsidRPr="0089723F">
        <w:rPr>
          <w:i/>
        </w:rPr>
        <w:t xml:space="preserve">Regional and Global information on N cycle fluxes and impacts, enabling strategies to be implemented to </w:t>
      </w:r>
      <w:r w:rsidR="006A3E26">
        <w:rPr>
          <w:i/>
          <w:color w:val="000000" w:themeColor="text1"/>
        </w:rPr>
        <w:t xml:space="preserve">increase the benefits </w:t>
      </w:r>
      <w:r>
        <w:rPr>
          <w:i/>
          <w:color w:val="000000" w:themeColor="text1"/>
        </w:rPr>
        <w:t xml:space="preserve">and </w:t>
      </w:r>
      <w:r w:rsidR="00FE0122" w:rsidRPr="0089723F">
        <w:rPr>
          <w:i/>
        </w:rPr>
        <w:t>minimise negative effects of excess or insufficient reactive N, while maximising the quantified co-benefits for other sectors including the Green Economy</w:t>
      </w:r>
    </w:p>
    <w:p w14:paraId="357FFE82" w14:textId="58318B55" w:rsidR="00FE0122" w:rsidRDefault="00FE0122" w:rsidP="00FE0122">
      <w:r>
        <w:t>This outcome must be seen in the wider context of the project. The focus here is on utilizing outcomes from Component 1 and 3 to provide key resources to stimulate improved management of the global nitrogen cycle, delivering results that can be exploited in wider awareness raising and knowledge sharing in Component 4.</w:t>
      </w:r>
      <w:r w:rsidR="0000345D">
        <w:t xml:space="preserve"> </w:t>
      </w:r>
    </w:p>
    <w:p w14:paraId="11F3FCAF" w14:textId="25EF2A78" w:rsidR="0000345D" w:rsidRDefault="0000345D" w:rsidP="00FE0122">
      <w:r>
        <w:t>Note that Outcomes are defined at Component level, while detailed Outputs at Activity and Task levels are described in the following sections.</w:t>
      </w:r>
    </w:p>
    <w:p w14:paraId="5F9D0EC4" w14:textId="77777777" w:rsidR="009E73E8" w:rsidRDefault="009E73E8" w:rsidP="004C34C5"/>
    <w:p w14:paraId="4F97FA0E" w14:textId="77777777" w:rsidR="0089723F" w:rsidRDefault="0089723F" w:rsidP="004C34C5"/>
    <w:p w14:paraId="1460DE1B" w14:textId="77777777" w:rsidR="0089723F" w:rsidRDefault="0089723F" w:rsidP="004C34C5"/>
    <w:p w14:paraId="63355E50" w14:textId="77777777" w:rsidR="0089723F" w:rsidRDefault="0089723F" w:rsidP="004C34C5"/>
    <w:p w14:paraId="11701F39" w14:textId="77777777" w:rsidR="0089723F" w:rsidRDefault="0089723F" w:rsidP="004C34C5"/>
    <w:p w14:paraId="0339B4F0" w14:textId="385E30EF" w:rsidR="004C34C5" w:rsidRDefault="004C34C5" w:rsidP="004C34C5">
      <w:pPr>
        <w:pStyle w:val="Heading2"/>
      </w:pPr>
      <w:bookmarkStart w:id="13" w:name="_Toc442303835"/>
      <w:r>
        <w:t>Outputs and activities</w:t>
      </w:r>
      <w:bookmarkEnd w:id="13"/>
    </w:p>
    <w:p w14:paraId="4D7B2890" w14:textId="77777777" w:rsidR="007D7A4E" w:rsidRDefault="007D7A4E" w:rsidP="007D7A4E"/>
    <w:p w14:paraId="47DFE590" w14:textId="383625A1" w:rsidR="00B7273B" w:rsidRDefault="00B7273B" w:rsidP="00B7273B">
      <w:pPr>
        <w:pStyle w:val="Leaders"/>
      </w:pPr>
      <w:r w:rsidRPr="00B7395B">
        <w:t xml:space="preserve">Overall Component Co-Leads:  </w:t>
      </w:r>
      <w:r w:rsidRPr="00B7395B">
        <w:br/>
      </w:r>
      <w:r>
        <w:t xml:space="preserve">European Centre </w:t>
      </w:r>
      <w:r w:rsidRPr="00B7395B">
        <w:t>of INI (</w:t>
      </w:r>
      <w:r>
        <w:t>de Vries, WUR</w:t>
      </w:r>
      <w:r w:rsidRPr="00B7395B">
        <w:t xml:space="preserve">) and </w:t>
      </w:r>
      <w:r w:rsidR="00154ABC">
        <w:t xml:space="preserve">Latin </w:t>
      </w:r>
      <w:r>
        <w:t xml:space="preserve">American Centre of INI </w:t>
      </w:r>
      <w:r w:rsidRPr="00B7395B">
        <w:t>(</w:t>
      </w:r>
      <w:r w:rsidR="00154ABC">
        <w:t>Ometto, INBE</w:t>
      </w:r>
      <w:r w:rsidRPr="00B7395B">
        <w:t>)</w:t>
      </w:r>
      <w:r>
        <w:t>.</w:t>
      </w:r>
    </w:p>
    <w:p w14:paraId="27750A6D" w14:textId="77777777" w:rsidR="00B7273B" w:rsidRPr="003F4C6E" w:rsidRDefault="00B7273B" w:rsidP="00B7273B">
      <w:pPr>
        <w:pStyle w:val="Leaders"/>
      </w:pPr>
    </w:p>
    <w:p w14:paraId="00C44792" w14:textId="6491B40D" w:rsidR="00AC651A" w:rsidRPr="00B7395B" w:rsidRDefault="00AC651A" w:rsidP="00AC651A">
      <w:pPr>
        <w:pStyle w:val="Heading3"/>
        <w:rPr>
          <w:noProof/>
        </w:rPr>
      </w:pPr>
      <w:bookmarkStart w:id="14" w:name="_Toc437721932"/>
      <w:bookmarkStart w:id="15" w:name="_Toc442303836"/>
      <w:r w:rsidRPr="00B7395B">
        <w:rPr>
          <w:noProof/>
          <w:lang w:eastAsia="en-GB"/>
        </w:rPr>
        <w:t xml:space="preserve">Activity </w:t>
      </w:r>
      <w:r>
        <w:rPr>
          <w:noProof/>
          <w:lang w:eastAsia="en-GB"/>
        </w:rPr>
        <w:t>2</w:t>
      </w:r>
      <w:r w:rsidRPr="00B7395B">
        <w:rPr>
          <w:noProof/>
          <w:lang w:eastAsia="en-GB"/>
        </w:rPr>
        <w:t xml:space="preserve">.1 :  </w:t>
      </w:r>
      <w:bookmarkEnd w:id="14"/>
      <w:r w:rsidRPr="00AC651A">
        <w:rPr>
          <w:noProof/>
        </w:rPr>
        <w:t>Quantifying N flows, threats and benefits at global and regional scales</w:t>
      </w:r>
      <w:bookmarkEnd w:id="15"/>
    </w:p>
    <w:p w14:paraId="04FA4DFC" w14:textId="46B74871" w:rsidR="00AC651A" w:rsidRPr="00440C28" w:rsidRDefault="00AC651A" w:rsidP="00AC651A">
      <w:pPr>
        <w:ind w:left="851"/>
        <w:rPr>
          <w:b/>
          <w:i/>
        </w:rPr>
      </w:pPr>
      <w:r w:rsidRPr="00440C28">
        <w:rPr>
          <w:b/>
          <w:i/>
        </w:rPr>
        <w:t xml:space="preserve">Output </w:t>
      </w:r>
      <w:r>
        <w:rPr>
          <w:b/>
          <w:i/>
        </w:rPr>
        <w:t>2</w:t>
      </w:r>
      <w:r w:rsidRPr="00440C28">
        <w:rPr>
          <w:b/>
          <w:i/>
        </w:rPr>
        <w:t xml:space="preserve">.1 </w:t>
      </w:r>
      <w:r w:rsidRPr="00AC651A">
        <w:rPr>
          <w:b/>
          <w:i/>
        </w:rPr>
        <w:t>Quantification and assessment of the global and regional threat</w:t>
      </w:r>
      <w:r>
        <w:rPr>
          <w:b/>
          <w:i/>
        </w:rPr>
        <w:t>s from excess and insufficient reactive nitrogen</w:t>
      </w:r>
    </w:p>
    <w:p w14:paraId="12D5047D" w14:textId="104E52D4" w:rsidR="00AC651A" w:rsidRDefault="00AC651A" w:rsidP="00AC651A">
      <w:pPr>
        <w:pStyle w:val="Leaders"/>
      </w:pPr>
      <w:r w:rsidRPr="00B7395B">
        <w:rPr>
          <w:lang w:eastAsia="en-GB"/>
        </w:rPr>
        <w:t xml:space="preserve">Activity Co-Leads:  </w:t>
      </w:r>
      <w:r>
        <w:t xml:space="preserve">European Centre </w:t>
      </w:r>
      <w:r w:rsidRPr="00B7395B">
        <w:t>of INI (</w:t>
      </w:r>
      <w:r>
        <w:t>de Vries, WUR</w:t>
      </w:r>
      <w:r w:rsidRPr="00B7395B">
        <w:t xml:space="preserve">) and </w:t>
      </w:r>
      <w:r>
        <w:t xml:space="preserve">North American Centre of INI </w:t>
      </w:r>
      <w:r w:rsidRPr="00B7395B">
        <w:t>(</w:t>
      </w:r>
      <w:r w:rsidR="00154ABC">
        <w:t xml:space="preserve">Marine, </w:t>
      </w:r>
      <w:r>
        <w:t>tbc</w:t>
      </w:r>
      <w:r w:rsidRPr="00B7395B">
        <w:t>)</w:t>
      </w:r>
      <w:r>
        <w:t>.</w:t>
      </w:r>
    </w:p>
    <w:p w14:paraId="406937EC" w14:textId="59644EB7" w:rsidR="00492F7A" w:rsidRDefault="00AC7A13" w:rsidP="00AC651A">
      <w:pPr>
        <w:rPr>
          <w:noProof/>
          <w:lang w:eastAsia="en-GB"/>
        </w:rPr>
      </w:pPr>
      <w:r>
        <w:rPr>
          <w:noProof/>
          <w:lang w:eastAsia="en-GB"/>
        </w:rPr>
        <w:t>The elements of this activity are summarized visually in Figure A16.1.</w:t>
      </w:r>
      <w:r w:rsidR="00154ABC">
        <w:rPr>
          <w:noProof/>
          <w:lang w:eastAsia="en-GB"/>
        </w:rPr>
        <w:t xml:space="preserve">  These include, establishing a database of shared input and outcomes, providing support to</w:t>
      </w:r>
      <w:r w:rsidR="008F41BD">
        <w:rPr>
          <w:noProof/>
          <w:lang w:eastAsia="en-GB"/>
        </w:rPr>
        <w:t xml:space="preserve"> regional inventories and model </w:t>
      </w:r>
      <w:r w:rsidR="00154ABC">
        <w:rPr>
          <w:noProof/>
          <w:lang w:eastAsia="en-GB"/>
        </w:rPr>
        <w:t xml:space="preserve">application, combined analysis of present conditions, and quantifying future threats and benefits at regional and global scales. </w:t>
      </w:r>
      <w:r w:rsidR="00492F7A">
        <w:rPr>
          <w:noProof/>
          <w:lang w:eastAsia="en-GB"/>
        </w:rPr>
        <w:t xml:space="preserve"> Together</w:t>
      </w:r>
      <w:r w:rsidR="007530C5">
        <w:rPr>
          <w:noProof/>
          <w:lang w:eastAsia="en-GB"/>
        </w:rPr>
        <w:t>,</w:t>
      </w:r>
      <w:r w:rsidR="00492F7A">
        <w:rPr>
          <w:noProof/>
          <w:lang w:eastAsia="en-GB"/>
        </w:rPr>
        <w:t xml:space="preserve"> these elements provide the tasks needed to apply the modelling and measurement develop</w:t>
      </w:r>
      <w:r w:rsidR="007530C5">
        <w:rPr>
          <w:noProof/>
          <w:lang w:eastAsia="en-GB"/>
        </w:rPr>
        <w:t>m</w:t>
      </w:r>
      <w:r w:rsidR="00492F7A">
        <w:rPr>
          <w:noProof/>
          <w:lang w:eastAsia="en-GB"/>
        </w:rPr>
        <w:t xml:space="preserve">ents to </w:t>
      </w:r>
      <w:r w:rsidR="007530C5">
        <w:rPr>
          <w:noProof/>
          <w:lang w:eastAsia="en-GB"/>
        </w:rPr>
        <w:t xml:space="preserve">build </w:t>
      </w:r>
      <w:r w:rsidR="00492F7A">
        <w:rPr>
          <w:noProof/>
          <w:lang w:eastAsia="en-GB"/>
        </w:rPr>
        <w:t xml:space="preserve">a state-of-the-art picture of current and future N flows, threats and benefits. </w:t>
      </w:r>
    </w:p>
    <w:p w14:paraId="1B6B835E" w14:textId="28354449" w:rsidR="00492F7A" w:rsidRDefault="00492F7A" w:rsidP="00AC651A">
      <w:pPr>
        <w:rPr>
          <w:noProof/>
          <w:lang w:eastAsia="en-GB"/>
        </w:rPr>
      </w:pPr>
      <w:r>
        <w:rPr>
          <w:noProof/>
          <w:lang w:eastAsia="en-GB"/>
        </w:rPr>
        <w:t>The main focus will be on supporting the application of models of the nitrogen cycle that have been developed through activities linked to Component 1 (A1.5)</w:t>
      </w:r>
      <w:r w:rsidR="007530C5">
        <w:rPr>
          <w:noProof/>
          <w:lang w:eastAsia="en-GB"/>
        </w:rPr>
        <w:t>.</w:t>
      </w:r>
      <w:r>
        <w:rPr>
          <w:noProof/>
          <w:lang w:eastAsia="en-GB"/>
        </w:rPr>
        <w:t xml:space="preserve"> </w:t>
      </w:r>
      <w:r w:rsidR="0000345D">
        <w:rPr>
          <w:noProof/>
          <w:lang w:eastAsia="en-GB"/>
        </w:rPr>
        <w:t xml:space="preserve">This will incluede </w:t>
      </w:r>
      <w:r w:rsidR="0000345D" w:rsidRPr="0000345D">
        <w:rPr>
          <w:noProof/>
          <w:lang w:eastAsia="en-GB"/>
        </w:rPr>
        <w:t>the review an</w:t>
      </w:r>
      <w:r w:rsidR="0000345D">
        <w:rPr>
          <w:noProof/>
          <w:lang w:eastAsia="en-GB"/>
        </w:rPr>
        <w:t>d critical assessment of existing models</w:t>
      </w:r>
      <w:r w:rsidR="0000345D" w:rsidRPr="0000345D">
        <w:rPr>
          <w:noProof/>
          <w:lang w:eastAsia="en-GB"/>
        </w:rPr>
        <w:t xml:space="preserve"> and the review of </w:t>
      </w:r>
      <w:r w:rsidR="0000345D">
        <w:rPr>
          <w:noProof/>
          <w:lang w:eastAsia="en-GB"/>
        </w:rPr>
        <w:t xml:space="preserve">associated </w:t>
      </w:r>
      <w:r w:rsidR="0000345D" w:rsidRPr="0000345D">
        <w:rPr>
          <w:noProof/>
          <w:lang w:eastAsia="en-GB"/>
        </w:rPr>
        <w:t>literature</w:t>
      </w:r>
      <w:r w:rsidR="0000345D">
        <w:rPr>
          <w:noProof/>
          <w:lang w:eastAsia="en-GB"/>
        </w:rPr>
        <w:t>.  For this work</w:t>
      </w:r>
      <w:r>
        <w:rPr>
          <w:noProof/>
          <w:lang w:eastAsia="en-GB"/>
        </w:rPr>
        <w:t xml:space="preserve">, </w:t>
      </w:r>
      <w:r w:rsidR="007530C5">
        <w:rPr>
          <w:noProof/>
          <w:lang w:eastAsia="en-GB"/>
        </w:rPr>
        <w:t xml:space="preserve">it will be necessary to </w:t>
      </w:r>
      <w:r>
        <w:rPr>
          <w:noProof/>
          <w:lang w:eastAsia="en-GB"/>
        </w:rPr>
        <w:t>develop a common position on the da</w:t>
      </w:r>
      <w:r w:rsidR="007530C5">
        <w:rPr>
          <w:noProof/>
          <w:lang w:eastAsia="en-GB"/>
        </w:rPr>
        <w:t xml:space="preserve">ta sources needed for modelling, which </w:t>
      </w:r>
      <w:r>
        <w:rPr>
          <w:noProof/>
          <w:lang w:eastAsia="en-GB"/>
        </w:rPr>
        <w:t>will form a key part of the da</w:t>
      </w:r>
      <w:r w:rsidR="007530C5">
        <w:rPr>
          <w:noProof/>
          <w:lang w:eastAsia="en-GB"/>
        </w:rPr>
        <w:t>tabasing activity (Task 2.1.1).</w:t>
      </w:r>
      <w:r>
        <w:rPr>
          <w:noProof/>
          <w:lang w:eastAsia="en-GB"/>
        </w:rPr>
        <w:t xml:space="preserve"> It will not be possible to support major measurement activities with the level of GEF resources available to Towards INMS. However, links will be made with nitrogen measurement programmes in water, air, soil etc enabling the databse to make the links to key data sources. This will benefit from the activities in Component 1 on threats, fluxes and levels (A1.2, A1.3). </w:t>
      </w:r>
    </w:p>
    <w:p w14:paraId="368CA160" w14:textId="4F6D8B16" w:rsidR="00244E7E" w:rsidRDefault="00492F7A" w:rsidP="00AC651A">
      <w:pPr>
        <w:rPr>
          <w:noProof/>
          <w:lang w:eastAsia="en-GB"/>
        </w:rPr>
      </w:pPr>
      <w:r>
        <w:rPr>
          <w:noProof/>
          <w:lang w:eastAsia="en-GB"/>
        </w:rPr>
        <w:t xml:space="preserve">With Towards INMS bringing together leading expertise in modelling and measurement of the nitrogen cycle, there is also the opportunity to share the </w:t>
      </w:r>
      <w:r w:rsidR="0000345D">
        <w:rPr>
          <w:noProof/>
          <w:lang w:eastAsia="en-GB"/>
        </w:rPr>
        <w:t xml:space="preserve">emerging findings </w:t>
      </w:r>
      <w:r>
        <w:rPr>
          <w:noProof/>
          <w:lang w:eastAsia="en-GB"/>
        </w:rPr>
        <w:t>between regions</w:t>
      </w:r>
      <w:r w:rsidR="0000345D">
        <w:rPr>
          <w:noProof/>
          <w:lang w:eastAsia="en-GB"/>
        </w:rPr>
        <w:t>, especially in considering how messages emerging from Component 3 feed into the modelling needs</w:t>
      </w:r>
      <w:r>
        <w:rPr>
          <w:noProof/>
          <w:lang w:eastAsia="en-GB"/>
        </w:rPr>
        <w:t>. Available methodologies</w:t>
      </w:r>
      <w:r w:rsidR="007530C5">
        <w:rPr>
          <w:noProof/>
          <w:lang w:eastAsia="en-GB"/>
        </w:rPr>
        <w:t xml:space="preserve"> and those developed in Activity</w:t>
      </w:r>
      <w:r>
        <w:rPr>
          <w:noProof/>
          <w:lang w:eastAsia="en-GB"/>
        </w:rPr>
        <w:t xml:space="preserve"> 1.5 will therefore also be shared with the regional demonstration activities to support their work.  </w:t>
      </w:r>
      <w:r w:rsidR="00244E7E">
        <w:rPr>
          <w:noProof/>
          <w:lang w:eastAsia="en-GB"/>
        </w:rPr>
        <w:t>The core focus will be on supporting the establishment of regional inventories and on model application. However, sharing of expertise on measurement approaches will</w:t>
      </w:r>
      <w:r w:rsidR="007530C5">
        <w:rPr>
          <w:noProof/>
          <w:lang w:eastAsia="en-GB"/>
        </w:rPr>
        <w:t xml:space="preserve"> </w:t>
      </w:r>
      <w:r w:rsidR="00244E7E">
        <w:rPr>
          <w:noProof/>
          <w:lang w:eastAsia="en-GB"/>
        </w:rPr>
        <w:t xml:space="preserve">be encouraged, </w:t>
      </w:r>
      <w:r w:rsidR="007530C5">
        <w:rPr>
          <w:noProof/>
          <w:lang w:eastAsia="en-GB"/>
        </w:rPr>
        <w:t xml:space="preserve">drawing on the outcomes of Activities 1.2 and 1.3, </w:t>
      </w:r>
      <w:r w:rsidR="00244E7E">
        <w:rPr>
          <w:noProof/>
          <w:lang w:eastAsia="en-GB"/>
        </w:rPr>
        <w:t>especially through national INMS co-financing initiatives.</w:t>
      </w:r>
    </w:p>
    <w:p w14:paraId="7B20E629" w14:textId="4F6A5CED" w:rsidR="00492F7A" w:rsidRDefault="00A431F7" w:rsidP="00AC651A">
      <w:pPr>
        <w:rPr>
          <w:noProof/>
          <w:lang w:eastAsia="en-GB"/>
        </w:rPr>
      </w:pPr>
      <w:r>
        <w:rPr>
          <w:noProof/>
          <w:lang w:eastAsia="en-GB"/>
        </w:rPr>
        <w:t xml:space="preserve">The largest fraction of this activity is dedicated to application of the developed models for different parts of the nitrogen cycle, with particular emphasis on the application </w:t>
      </w:r>
      <w:r w:rsidR="00DE150D">
        <w:rPr>
          <w:noProof/>
          <w:lang w:eastAsia="en-GB"/>
        </w:rPr>
        <w:t xml:space="preserve">of </w:t>
      </w:r>
      <w:r>
        <w:rPr>
          <w:noProof/>
          <w:lang w:eastAsia="en-GB"/>
        </w:rPr>
        <w:t xml:space="preserve">the model cluster </w:t>
      </w:r>
      <w:r w:rsidR="001B25B6">
        <w:rPr>
          <w:noProof/>
          <w:lang w:eastAsia="en-GB"/>
        </w:rPr>
        <w:t xml:space="preserve">to be established </w:t>
      </w:r>
      <w:r>
        <w:rPr>
          <w:noProof/>
          <w:lang w:eastAsia="en-GB"/>
        </w:rPr>
        <w:t xml:space="preserve">in Activity 1.5. While the first </w:t>
      </w:r>
      <w:r w:rsidR="001B25B6">
        <w:rPr>
          <w:noProof/>
          <w:lang w:eastAsia="en-GB"/>
        </w:rPr>
        <w:t>stage is on developing a joined-</w:t>
      </w:r>
      <w:r>
        <w:rPr>
          <w:noProof/>
          <w:lang w:eastAsia="en-GB"/>
        </w:rPr>
        <w:t>up model assessment of the main sources, flows, threats and benefits for current conditions, input from Activity 2.4 will be used to inform the model ap</w:t>
      </w:r>
      <w:r w:rsidR="001B25B6">
        <w:rPr>
          <w:noProof/>
          <w:lang w:eastAsia="en-GB"/>
        </w:rPr>
        <w:t>plication for future scenarios.</w:t>
      </w:r>
    </w:p>
    <w:p w14:paraId="5CF07A5C" w14:textId="057D48B7" w:rsidR="00B861EE" w:rsidRDefault="00B861EE" w:rsidP="007D7A4E">
      <w:r>
        <w:rPr>
          <w:noProof/>
          <w:lang w:eastAsia="en-GB"/>
        </w:rPr>
        <w:lastRenderedPageBreak/>
        <w:drawing>
          <wp:inline distT="0" distB="0" distL="0" distR="0" wp14:anchorId="47F37D74" wp14:editId="55546C5E">
            <wp:extent cx="5767070" cy="3748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ity 2.1.png"/>
                    <pic:cNvPicPr/>
                  </pic:nvPicPr>
                  <pic:blipFill rotWithShape="1">
                    <a:blip r:embed="rId10" cstate="print">
                      <a:extLst>
                        <a:ext uri="{28A0092B-C50C-407E-A947-70E740481C1C}">
                          <a14:useLocalDpi xmlns:a14="http://schemas.microsoft.com/office/drawing/2010/main" val="0"/>
                        </a:ext>
                      </a:extLst>
                    </a:blip>
                    <a:srcRect t="8714"/>
                    <a:stretch/>
                  </pic:blipFill>
                  <pic:spPr bwMode="auto">
                    <a:xfrm>
                      <a:off x="0" y="0"/>
                      <a:ext cx="5767070" cy="3748101"/>
                    </a:xfrm>
                    <a:prstGeom prst="rect">
                      <a:avLst/>
                    </a:prstGeom>
                    <a:ln>
                      <a:noFill/>
                    </a:ln>
                    <a:extLst>
                      <a:ext uri="{53640926-AAD7-44D8-BBD7-CCE9431645EC}">
                        <a14:shadowObscured xmlns:a14="http://schemas.microsoft.com/office/drawing/2010/main"/>
                      </a:ext>
                    </a:extLst>
                  </pic:spPr>
                </pic:pic>
              </a:graphicData>
            </a:graphic>
          </wp:inline>
        </w:drawing>
      </w:r>
    </w:p>
    <w:p w14:paraId="74A35B1D" w14:textId="45373114" w:rsidR="00AC7A13" w:rsidRDefault="00AC7A13" w:rsidP="00665EEE">
      <w:pPr>
        <w:pStyle w:val="Caption"/>
        <w:rPr>
          <w:noProof/>
          <w:lang w:eastAsia="en-GB"/>
        </w:rPr>
      </w:pPr>
      <w:r w:rsidRPr="00B61BF6">
        <w:rPr>
          <w:b/>
          <w:noProof/>
          <w:lang w:eastAsia="en-GB"/>
        </w:rPr>
        <w:t>Figure A1</w:t>
      </w:r>
      <w:r>
        <w:rPr>
          <w:b/>
          <w:noProof/>
          <w:lang w:eastAsia="en-GB"/>
        </w:rPr>
        <w:t>6</w:t>
      </w:r>
      <w:r w:rsidRPr="00B61BF6">
        <w:rPr>
          <w:b/>
          <w:noProof/>
          <w:lang w:eastAsia="en-GB"/>
        </w:rPr>
        <w:t>.1:</w:t>
      </w:r>
      <w:r>
        <w:rPr>
          <w:noProof/>
          <w:lang w:eastAsia="en-GB"/>
        </w:rPr>
        <w:t xml:space="preserve"> Summary of Tasks and Task Outputs needed to reach the overall Output in relation </w:t>
      </w:r>
      <w:r w:rsidR="00665EEE">
        <w:rPr>
          <w:noProof/>
          <w:lang w:eastAsia="en-GB"/>
        </w:rPr>
        <w:t xml:space="preserve">to quantifying nitrogen flows, threats and benefits </w:t>
      </w:r>
      <w:r>
        <w:rPr>
          <w:noProof/>
          <w:lang w:eastAsia="en-GB"/>
        </w:rPr>
        <w:t xml:space="preserve">(Activity 2.1; Output 2.1). </w:t>
      </w:r>
    </w:p>
    <w:p w14:paraId="45A262A4" w14:textId="77777777" w:rsidR="0000345D" w:rsidRDefault="0000345D" w:rsidP="0000345D">
      <w:pPr>
        <w:rPr>
          <w:noProof/>
          <w:lang w:eastAsia="en-GB"/>
        </w:rPr>
      </w:pPr>
      <w:r>
        <w:rPr>
          <w:noProof/>
          <w:lang w:eastAsia="en-GB"/>
        </w:rPr>
        <w:t>The outcomes of Activity 2.1, will provide key material for the consolidated global assessment of N flows, pathways and effects in Component 2.</w:t>
      </w:r>
    </w:p>
    <w:p w14:paraId="1E6272FF" w14:textId="47BACA36" w:rsidR="00D60E02" w:rsidRDefault="008B01BD" w:rsidP="00102E5B">
      <w:r>
        <w:t>A large</w:t>
      </w:r>
      <w:r w:rsidR="004C3595">
        <w:t xml:space="preserve"> number of </w:t>
      </w:r>
      <w:r w:rsidR="00BB5178" w:rsidRPr="00072447">
        <w:t>INMS partners</w:t>
      </w:r>
      <w:r w:rsidR="00BB5178">
        <w:t xml:space="preserve"> have proposed to contribute to this activity including:  </w:t>
      </w:r>
      <w:r w:rsidR="00107A75" w:rsidRPr="005642F8">
        <w:t>ALTERRA-</w:t>
      </w:r>
      <w:r w:rsidR="006334BF" w:rsidRPr="005642F8">
        <w:t xml:space="preserve"> (</w:t>
      </w:r>
      <w:r w:rsidR="00107A75" w:rsidRPr="005642F8">
        <w:t>The Netherlands</w:t>
      </w:r>
      <w:r w:rsidR="006334BF" w:rsidRPr="005642F8">
        <w:t xml:space="preserve">), </w:t>
      </w:r>
      <w:r w:rsidR="00D60E02" w:rsidRPr="005642F8">
        <w:t>CCST</w:t>
      </w:r>
      <w:r w:rsidR="00D60E02" w:rsidRPr="00D60E02">
        <w:t>-INPE</w:t>
      </w:r>
      <w:r w:rsidR="00D60E02">
        <w:t xml:space="preserve"> (Brazil), </w:t>
      </w:r>
      <w:r w:rsidR="00107A75">
        <w:t>PIK (Denmark</w:t>
      </w:r>
      <w:r w:rsidR="006334BF">
        <w:t xml:space="preserve">), </w:t>
      </w:r>
      <w:r w:rsidR="007A156C">
        <w:t>FAO</w:t>
      </w:r>
      <w:r w:rsidR="00102E5B">
        <w:t xml:space="preserve"> - AGA</w:t>
      </w:r>
      <w:r w:rsidR="00107A75">
        <w:t xml:space="preserve"> (International)</w:t>
      </w:r>
      <w:r w:rsidR="007A156C">
        <w:t xml:space="preserve">, </w:t>
      </w:r>
      <w:r w:rsidR="00914036">
        <w:t>JRC (EU)</w:t>
      </w:r>
      <w:r w:rsidR="007A156C">
        <w:t xml:space="preserve">, </w:t>
      </w:r>
      <w:r w:rsidR="00D60E02" w:rsidRPr="005642F8">
        <w:t xml:space="preserve">NERC (UK), </w:t>
      </w:r>
      <w:r w:rsidR="00102E5B" w:rsidRPr="005642F8">
        <w:t>ZJU</w:t>
      </w:r>
      <w:r w:rsidR="00D60E02" w:rsidRPr="005642F8">
        <w:t xml:space="preserve"> (Ch</w:t>
      </w:r>
      <w:r w:rsidR="00107A75" w:rsidRPr="005642F8">
        <w:t>ina</w:t>
      </w:r>
      <w:r w:rsidR="00107A75">
        <w:t xml:space="preserve">), </w:t>
      </w:r>
      <w:r w:rsidR="00102E5B">
        <w:t>UGENT</w:t>
      </w:r>
      <w:r w:rsidR="00107A75">
        <w:t xml:space="preserve"> </w:t>
      </w:r>
      <w:r w:rsidR="00102E5B">
        <w:t>(Belgium)</w:t>
      </w:r>
      <w:r w:rsidR="00107A75">
        <w:t xml:space="preserve">, </w:t>
      </w:r>
      <w:r w:rsidR="00102E5B">
        <w:t>BFU</w:t>
      </w:r>
      <w:r w:rsidR="00D60E02">
        <w:t xml:space="preserve"> (China), </w:t>
      </w:r>
      <w:r w:rsidR="00102E5B">
        <w:t>RRes</w:t>
      </w:r>
      <w:r w:rsidR="00D60E02">
        <w:t xml:space="preserve"> (UK), </w:t>
      </w:r>
      <w:r w:rsidR="00102E5B">
        <w:t>LA UMR 5560</w:t>
      </w:r>
      <w:r w:rsidR="00107A75">
        <w:t xml:space="preserve"> (France</w:t>
      </w:r>
      <w:r w:rsidR="00D60E02">
        <w:t xml:space="preserve">), ISSCAS (China), </w:t>
      </w:r>
      <w:r w:rsidR="00102E5B">
        <w:t>AU ENV</w:t>
      </w:r>
      <w:r w:rsidR="00D60E02">
        <w:t xml:space="preserve"> (</w:t>
      </w:r>
      <w:r w:rsidR="00102E5B">
        <w:t>Denmark</w:t>
      </w:r>
      <w:r w:rsidR="00D60E02">
        <w:t xml:space="preserve">), SRI </w:t>
      </w:r>
      <w:r w:rsidR="00102E5B">
        <w:t>(Russia)</w:t>
      </w:r>
      <w:r w:rsidR="00D60E02">
        <w:t xml:space="preserve">, MET Norway </w:t>
      </w:r>
      <w:r w:rsidR="00102E5B">
        <w:t>(Norway)</w:t>
      </w:r>
      <w:r w:rsidR="00D60E02">
        <w:t xml:space="preserve">, </w:t>
      </w:r>
      <w:r w:rsidR="00D60E02" w:rsidRPr="005642F8">
        <w:t xml:space="preserve">EPA (USA), ECN </w:t>
      </w:r>
      <w:r w:rsidR="00102E5B" w:rsidRPr="005642F8">
        <w:t>(T</w:t>
      </w:r>
      <w:r w:rsidR="00102E5B">
        <w:t>he Netherlands)</w:t>
      </w:r>
      <w:r w:rsidR="00D60E02">
        <w:t xml:space="preserve">, INRA </w:t>
      </w:r>
      <w:r w:rsidR="00914036">
        <w:t>(France)</w:t>
      </w:r>
      <w:r w:rsidR="00D60E02">
        <w:t>, IIASA</w:t>
      </w:r>
      <w:r w:rsidR="00102E5B">
        <w:t xml:space="preserve"> (Austria)</w:t>
      </w:r>
      <w:r w:rsidR="00D60E02">
        <w:t xml:space="preserve">, </w:t>
      </w:r>
      <w:r w:rsidR="00102E5B">
        <w:t xml:space="preserve">UoY </w:t>
      </w:r>
      <w:r w:rsidR="00D60E02">
        <w:t xml:space="preserve">(UK), ARI </w:t>
      </w:r>
      <w:r w:rsidR="00102E5B">
        <w:t>(Russia)</w:t>
      </w:r>
      <w:r w:rsidR="00D60E02">
        <w:t xml:space="preserve">, PBL </w:t>
      </w:r>
      <w:r w:rsidR="00102E5B">
        <w:t>(The Netherlands)</w:t>
      </w:r>
      <w:r w:rsidR="00D60E02">
        <w:t xml:space="preserve">, </w:t>
      </w:r>
      <w:r w:rsidR="00102E5B">
        <w:t xml:space="preserve">CAU </w:t>
      </w:r>
      <w:r w:rsidR="00D60E02">
        <w:t xml:space="preserve">(China), RIVM </w:t>
      </w:r>
      <w:r w:rsidR="00102E5B">
        <w:t>(The Netherlands)</w:t>
      </w:r>
      <w:r w:rsidR="00D60E02">
        <w:t xml:space="preserve">, </w:t>
      </w:r>
      <w:r w:rsidR="00D60E02" w:rsidRPr="005642F8">
        <w:t xml:space="preserve">USGS </w:t>
      </w:r>
      <w:r w:rsidR="007A156C" w:rsidRPr="005642F8">
        <w:t>for NANC (US),</w:t>
      </w:r>
      <w:r w:rsidR="007A156C">
        <w:t xml:space="preserve"> ILRI (Kenya), ‘New Energy’ (NGO, Ukraine), </w:t>
      </w:r>
      <w:r w:rsidR="00102E5B">
        <w:t>VU (The Netherlands)</w:t>
      </w:r>
      <w:r w:rsidR="007A156C">
        <w:t xml:space="preserve">, </w:t>
      </w:r>
      <w:r w:rsidR="00102E5B">
        <w:t>UED</w:t>
      </w:r>
      <w:r w:rsidR="007A156C">
        <w:t xml:space="preserve"> (UK), </w:t>
      </w:r>
      <w:r w:rsidR="004C3595" w:rsidRPr="005642F8">
        <w:t>CARR (China),</w:t>
      </w:r>
      <w:r w:rsidR="004C3595" w:rsidRPr="00DF1727">
        <w:rPr>
          <w:color w:val="FF0000"/>
        </w:rPr>
        <w:t xml:space="preserve"> </w:t>
      </w:r>
      <w:r w:rsidR="00102E5B">
        <w:t>LVBC</w:t>
      </w:r>
      <w:r w:rsidR="007A156C">
        <w:t xml:space="preserve"> (Uganda),  NIES (Japan), ASU </w:t>
      </w:r>
      <w:r w:rsidR="00102E5B">
        <w:t>(Lithuania)</w:t>
      </w:r>
      <w:r w:rsidR="007A156C">
        <w:t>, IFA</w:t>
      </w:r>
      <w:r w:rsidR="00102E5B">
        <w:t xml:space="preserve"> (France)</w:t>
      </w:r>
      <w:r w:rsidR="007A156C">
        <w:t>.</w:t>
      </w:r>
    </w:p>
    <w:p w14:paraId="26B2B84E" w14:textId="1AAC60CE" w:rsidR="00BB5178" w:rsidRDefault="001B25B6" w:rsidP="00BB5178">
      <w:r>
        <w:t>IIASA</w:t>
      </w:r>
      <w:r w:rsidR="00102E5B">
        <w:t xml:space="preserve"> (Austria)</w:t>
      </w:r>
      <w:r>
        <w:t xml:space="preserve"> and ATB (D</w:t>
      </w:r>
      <w:r w:rsidR="00102E5B">
        <w:t>enmark</w:t>
      </w:r>
      <w:r>
        <w:t>)</w:t>
      </w:r>
      <w:r w:rsidR="000932F5">
        <w:t>, ALTERRA (The Netherlands), INRA (France)</w:t>
      </w:r>
      <w:r>
        <w:t xml:space="preserve"> have also </w:t>
      </w:r>
      <w:r w:rsidR="00BB5178">
        <w:t>expressed interest to pro</w:t>
      </w:r>
      <w:r>
        <w:t>vide advice and review the work.</w:t>
      </w:r>
      <w:r w:rsidR="00BB5178">
        <w:t xml:space="preserve"> </w:t>
      </w:r>
    </w:p>
    <w:p w14:paraId="040BD986" w14:textId="77777777" w:rsidR="005642F8" w:rsidRPr="00072447" w:rsidRDefault="005642F8" w:rsidP="00BB5178"/>
    <w:p w14:paraId="07103775" w14:textId="74ECBEA1" w:rsidR="00AC7A13" w:rsidRPr="00B7395B" w:rsidRDefault="00AC7A13" w:rsidP="00AC7A13">
      <w:pPr>
        <w:pStyle w:val="Heading4"/>
        <w:numPr>
          <w:ilvl w:val="0"/>
          <w:numId w:val="0"/>
        </w:numPr>
        <w:ind w:left="864" w:hanging="864"/>
        <w:rPr>
          <w:noProof/>
        </w:rPr>
      </w:pPr>
      <w:r w:rsidRPr="00B7395B">
        <w:rPr>
          <w:noProof/>
        </w:rPr>
        <w:t xml:space="preserve">Task </w:t>
      </w:r>
      <w:r>
        <w:rPr>
          <w:noProof/>
        </w:rPr>
        <w:t>2</w:t>
      </w:r>
      <w:r w:rsidRPr="00B7395B">
        <w:rPr>
          <w:noProof/>
        </w:rPr>
        <w:t xml:space="preserve">.1.1:  </w:t>
      </w:r>
      <w:r w:rsidR="004C3595" w:rsidRPr="004C3595">
        <w:rPr>
          <w:noProof/>
        </w:rPr>
        <w:t>Database of shared input, model outcomes &amp; access to measurements</w:t>
      </w:r>
    </w:p>
    <w:p w14:paraId="142C32B6" w14:textId="05222E0E" w:rsidR="00AC7A13" w:rsidRPr="00704FBC" w:rsidRDefault="00AC7A13" w:rsidP="00AC7A13">
      <w:pPr>
        <w:ind w:firstLine="720"/>
        <w:rPr>
          <w:b/>
          <w:i/>
          <w:noProof/>
        </w:rPr>
      </w:pPr>
      <w:r w:rsidRPr="00704FBC">
        <w:rPr>
          <w:b/>
          <w:i/>
          <w:noProof/>
        </w:rPr>
        <w:t xml:space="preserve">Task Output </w:t>
      </w:r>
      <w:r>
        <w:rPr>
          <w:b/>
          <w:i/>
          <w:noProof/>
        </w:rPr>
        <w:t>2</w:t>
      </w:r>
      <w:r w:rsidRPr="00704FBC">
        <w:rPr>
          <w:b/>
          <w:i/>
          <w:noProof/>
        </w:rPr>
        <w:t xml:space="preserve">.1.1: </w:t>
      </w:r>
      <w:r w:rsidR="004C3595" w:rsidRPr="004C3595">
        <w:rPr>
          <w:b/>
          <w:i/>
          <w:noProof/>
        </w:rPr>
        <w:t>Database established &amp; populated, common datasets, results &amp; access to sources</w:t>
      </w:r>
    </w:p>
    <w:p w14:paraId="7EA23439" w14:textId="134A8187" w:rsidR="00AC7A13" w:rsidRDefault="00AC7A13" w:rsidP="00AC7A13">
      <w:pPr>
        <w:pStyle w:val="Leaders"/>
      </w:pPr>
      <w:r w:rsidRPr="00633B13">
        <w:t xml:space="preserve">Task Co-leads: </w:t>
      </w:r>
      <w:r>
        <w:t>William Bealey (PCU, NERC</w:t>
      </w:r>
      <w:r w:rsidR="00096B75">
        <w:t>, UK</w:t>
      </w:r>
      <w:r>
        <w:t>)</w:t>
      </w:r>
      <w:r w:rsidR="006374FF">
        <w:t xml:space="preserve"> </w:t>
      </w:r>
      <w:r w:rsidR="004C3595">
        <w:t xml:space="preserve">and Jean Ometto </w:t>
      </w:r>
      <w:r w:rsidR="006374FF">
        <w:t>(</w:t>
      </w:r>
      <w:r w:rsidR="004C3595">
        <w:t>CCST-INPE</w:t>
      </w:r>
      <w:r w:rsidR="00096B75">
        <w:t>, BR</w:t>
      </w:r>
      <w:r w:rsidR="006374FF">
        <w:t>)</w:t>
      </w:r>
    </w:p>
    <w:p w14:paraId="096D6C26" w14:textId="77777777" w:rsidR="005642F8" w:rsidRDefault="001B25B6" w:rsidP="00AC7A13">
      <w:pPr>
        <w:rPr>
          <w:noProof/>
          <w:lang w:eastAsia="en-GB"/>
        </w:rPr>
      </w:pPr>
      <w:r>
        <w:rPr>
          <w:noProof/>
          <w:lang w:eastAsia="en-GB"/>
        </w:rPr>
        <w:t xml:space="preserve">The key role of this task is to establish an </w:t>
      </w:r>
      <w:r w:rsidR="008B01BD">
        <w:rPr>
          <w:noProof/>
          <w:lang w:eastAsia="en-GB"/>
        </w:rPr>
        <w:t>accessible resource that allows</w:t>
      </w:r>
      <w:r>
        <w:rPr>
          <w:noProof/>
          <w:lang w:eastAsia="en-GB"/>
        </w:rPr>
        <w:t xml:space="preserve"> coordinated access to datasets used in establishing INMS nitrogen inventories, inputs to models and sharing of key results.</w:t>
      </w:r>
      <w:r w:rsidR="005642F8">
        <w:rPr>
          <w:noProof/>
          <w:lang w:eastAsia="en-GB"/>
        </w:rPr>
        <w:t xml:space="preserve"> The main users of this information are therefore modellers of the nitrogen cycle facilitating improved </w:t>
      </w:r>
      <w:r>
        <w:rPr>
          <w:noProof/>
          <w:lang w:eastAsia="en-GB"/>
        </w:rPr>
        <w:t xml:space="preserve"> </w:t>
      </w:r>
      <w:r w:rsidR="005642F8">
        <w:rPr>
          <w:noProof/>
          <w:lang w:eastAsia="en-GB"/>
        </w:rPr>
        <w:t xml:space="preserve">cooperation and harmonization. By sharing key results datasets the outcomes will also be useful to </w:t>
      </w:r>
      <w:r w:rsidR="005642F8">
        <w:rPr>
          <w:noProof/>
          <w:lang w:eastAsia="en-GB"/>
        </w:rPr>
        <w:lastRenderedPageBreak/>
        <w:t xml:space="preserve">users of the data including for comparison with monitoring and in support of the regional and global assessment proceses. </w:t>
      </w:r>
    </w:p>
    <w:p w14:paraId="07A85E5F" w14:textId="51364A8F" w:rsidR="00B861EE" w:rsidRDefault="001B25B6" w:rsidP="00AC7A13">
      <w:pPr>
        <w:rPr>
          <w:noProof/>
          <w:lang w:eastAsia="en-GB"/>
        </w:rPr>
      </w:pPr>
      <w:r>
        <w:rPr>
          <w:noProof/>
          <w:lang w:eastAsia="en-GB"/>
        </w:rPr>
        <w:t>The first steps will be to review the different information sources available and analyse their distribution between partners and external bodies. This will consider issues of data accessibility (ease access, language, complexity of permissions etc) and establish a datasources profile that can inform the next steps.  The key decision that will need to be taken is to agree the optimal balance between accessibility and c</w:t>
      </w:r>
      <w:r w:rsidR="008B01BD">
        <w:rPr>
          <w:noProof/>
          <w:lang w:eastAsia="en-GB"/>
        </w:rPr>
        <w:t>e</w:t>
      </w:r>
      <w:r>
        <w:rPr>
          <w:noProof/>
          <w:lang w:eastAsia="en-GB"/>
        </w:rPr>
        <w:t xml:space="preserve">ntralization versus utilisation of existing distributed data sources.  For this purpose, the distinction will be made between developing the database portal </w:t>
      </w:r>
      <w:r w:rsidR="00326138">
        <w:rPr>
          <w:noProof/>
          <w:lang w:eastAsia="en-GB"/>
        </w:rPr>
        <w:t xml:space="preserve">in </w:t>
      </w:r>
      <w:r w:rsidR="008B01BD">
        <w:rPr>
          <w:noProof/>
          <w:lang w:eastAsia="en-GB"/>
        </w:rPr>
        <w:t>a</w:t>
      </w:r>
      <w:r w:rsidR="00DE150D">
        <w:rPr>
          <w:noProof/>
          <w:lang w:eastAsia="en-GB"/>
        </w:rPr>
        <w:t>in</w:t>
      </w:r>
      <w:r w:rsidR="008B01BD">
        <w:rPr>
          <w:noProof/>
          <w:lang w:eastAsia="en-GB"/>
        </w:rPr>
        <w:t xml:space="preserve"> </w:t>
      </w:r>
      <w:r>
        <w:rPr>
          <w:noProof/>
          <w:lang w:eastAsia="en-GB"/>
        </w:rPr>
        <w:t>way that most effectively provides ready ac</w:t>
      </w:r>
      <w:r w:rsidR="00DE150D">
        <w:rPr>
          <w:noProof/>
          <w:lang w:eastAsia="en-GB"/>
        </w:rPr>
        <w:t>c</w:t>
      </w:r>
      <w:r>
        <w:rPr>
          <w:noProof/>
          <w:lang w:eastAsia="en-GB"/>
        </w:rPr>
        <w:t xml:space="preserve">ess to different datasets, which are actually stored elsewhere, and datasets that are actually stored </w:t>
      </w:r>
      <w:r w:rsidR="008B01BD">
        <w:rPr>
          <w:noProof/>
          <w:lang w:eastAsia="en-GB"/>
        </w:rPr>
        <w:t xml:space="preserve">in </w:t>
      </w:r>
      <w:r>
        <w:rPr>
          <w:noProof/>
          <w:lang w:eastAsia="en-GB"/>
        </w:rPr>
        <w:t xml:space="preserve">the INMS database. Technically, this will be delivered through two distinct tools. The facilitation of data coordiantion and access will utilize the ENCORE data cluster system established by NERC under the ÉCLAIRE project.  Where it is necessary to store key datasets (as in key model outcomes developed by the project) these will be archived on a dedicated INMS database to allow ready access to partners. </w:t>
      </w:r>
    </w:p>
    <w:p w14:paraId="14E39251" w14:textId="1BDCF3FE" w:rsidR="001B25B6" w:rsidRDefault="001B25B6" w:rsidP="00AC7A13">
      <w:pPr>
        <w:rPr>
          <w:noProof/>
          <w:lang w:eastAsia="en-GB"/>
        </w:rPr>
      </w:pPr>
      <w:r>
        <w:rPr>
          <w:noProof/>
          <w:lang w:eastAsia="en-GB"/>
        </w:rPr>
        <w:t>Several INMS partners have established expertise in this area, including NERC (UK), INBE (Brazil)</w:t>
      </w:r>
      <w:r w:rsidR="00AC7281">
        <w:rPr>
          <w:noProof/>
          <w:lang w:eastAsia="en-GB"/>
        </w:rPr>
        <w:t xml:space="preserve">, PIK </w:t>
      </w:r>
      <w:r w:rsidR="00102E5B">
        <w:rPr>
          <w:noProof/>
          <w:lang w:eastAsia="en-GB"/>
        </w:rPr>
        <w:t>(Denmark)</w:t>
      </w:r>
      <w:r w:rsidR="00AC7281">
        <w:rPr>
          <w:noProof/>
          <w:lang w:eastAsia="en-GB"/>
        </w:rPr>
        <w:t xml:space="preserve">, WUR </w:t>
      </w:r>
      <w:r w:rsidR="00102E5B">
        <w:rPr>
          <w:noProof/>
          <w:lang w:eastAsia="en-GB"/>
        </w:rPr>
        <w:t>(The Netherlands)</w:t>
      </w:r>
      <w:r w:rsidR="00AC7281">
        <w:rPr>
          <w:noProof/>
          <w:lang w:eastAsia="en-GB"/>
        </w:rPr>
        <w:t xml:space="preserve">, PBL </w:t>
      </w:r>
      <w:r w:rsidR="00102E5B">
        <w:rPr>
          <w:noProof/>
          <w:lang w:eastAsia="en-GB"/>
        </w:rPr>
        <w:t>(The Netherlands)</w:t>
      </w:r>
      <w:r w:rsidR="00AC7281">
        <w:rPr>
          <w:noProof/>
          <w:lang w:eastAsia="en-GB"/>
        </w:rPr>
        <w:t xml:space="preserve">, FAO, NIES (Japan), </w:t>
      </w:r>
      <w:r w:rsidR="00914036">
        <w:rPr>
          <w:noProof/>
          <w:lang w:eastAsia="en-GB"/>
        </w:rPr>
        <w:t>JRC (EU)</w:t>
      </w:r>
      <w:r w:rsidR="00AC7281">
        <w:rPr>
          <w:noProof/>
          <w:lang w:eastAsia="en-GB"/>
        </w:rPr>
        <w:t xml:space="preserve">, IIASA and UNECE, which will be utilized to help develop the data strategy. </w:t>
      </w:r>
    </w:p>
    <w:p w14:paraId="0DDA8B67" w14:textId="77777777" w:rsidR="004C3595" w:rsidRDefault="004C3595" w:rsidP="004C3595"/>
    <w:p w14:paraId="1422B18F" w14:textId="3F4EB495" w:rsidR="004C3595" w:rsidRPr="00B7395B" w:rsidRDefault="004C3595" w:rsidP="004C3595">
      <w:pPr>
        <w:pStyle w:val="Heading4"/>
        <w:numPr>
          <w:ilvl w:val="0"/>
          <w:numId w:val="0"/>
        </w:numPr>
        <w:ind w:left="864" w:hanging="864"/>
        <w:rPr>
          <w:noProof/>
        </w:rPr>
      </w:pPr>
      <w:r w:rsidRPr="00B7395B">
        <w:rPr>
          <w:noProof/>
        </w:rPr>
        <w:t xml:space="preserve">Task </w:t>
      </w:r>
      <w:r>
        <w:rPr>
          <w:noProof/>
        </w:rPr>
        <w:t>2</w:t>
      </w:r>
      <w:r w:rsidRPr="00B7395B">
        <w:rPr>
          <w:noProof/>
        </w:rPr>
        <w:t>.1.</w:t>
      </w:r>
      <w:r>
        <w:rPr>
          <w:noProof/>
        </w:rPr>
        <w:t>2</w:t>
      </w:r>
      <w:r w:rsidRPr="00B7395B">
        <w:rPr>
          <w:noProof/>
        </w:rPr>
        <w:t xml:space="preserve">:  </w:t>
      </w:r>
      <w:r w:rsidRPr="004C3595">
        <w:rPr>
          <w:noProof/>
        </w:rPr>
        <w:t>International support to regional inventories &amp; model application</w:t>
      </w:r>
    </w:p>
    <w:p w14:paraId="120264D6" w14:textId="561ABC56" w:rsidR="004C3595" w:rsidRPr="00704FBC" w:rsidRDefault="004C3595" w:rsidP="004C3595">
      <w:pPr>
        <w:ind w:firstLine="720"/>
        <w:rPr>
          <w:b/>
          <w:i/>
          <w:noProof/>
        </w:rPr>
      </w:pPr>
      <w:r w:rsidRPr="00704FBC">
        <w:rPr>
          <w:b/>
          <w:i/>
          <w:noProof/>
        </w:rPr>
        <w:t xml:space="preserve">Task Output </w:t>
      </w:r>
      <w:r>
        <w:rPr>
          <w:b/>
          <w:i/>
          <w:noProof/>
        </w:rPr>
        <w:t>2</w:t>
      </w:r>
      <w:r w:rsidRPr="00704FBC">
        <w:rPr>
          <w:b/>
          <w:i/>
          <w:noProof/>
        </w:rPr>
        <w:t>.1.</w:t>
      </w:r>
      <w:r>
        <w:rPr>
          <w:b/>
          <w:i/>
          <w:noProof/>
        </w:rPr>
        <w:t>2</w:t>
      </w:r>
      <w:r w:rsidRPr="00704FBC">
        <w:rPr>
          <w:b/>
          <w:i/>
          <w:noProof/>
        </w:rPr>
        <w:t xml:space="preserve">: </w:t>
      </w:r>
      <w:r w:rsidRPr="004C3595">
        <w:rPr>
          <w:b/>
          <w:i/>
          <w:noProof/>
        </w:rPr>
        <w:t>Regional demonstrations supported with inventory expertise and models</w:t>
      </w:r>
    </w:p>
    <w:p w14:paraId="00E32DD4" w14:textId="7963CC83" w:rsidR="004C3595" w:rsidRDefault="004C3595" w:rsidP="004C3595">
      <w:pPr>
        <w:pStyle w:val="Leaders"/>
      </w:pPr>
      <w:r w:rsidRPr="00633B13">
        <w:t xml:space="preserve">Task Co-leads: </w:t>
      </w:r>
      <w:r>
        <w:t>Howard (PCU, NERC) and Jean Ometto (CCST-INPE)</w:t>
      </w:r>
    </w:p>
    <w:p w14:paraId="0D6C76B3" w14:textId="1E143D68" w:rsidR="004E3425" w:rsidRDefault="00AD01FF" w:rsidP="004C3595">
      <w:pPr>
        <w:rPr>
          <w:noProof/>
          <w:lang w:eastAsia="en-GB"/>
        </w:rPr>
      </w:pPr>
      <w:r>
        <w:rPr>
          <w:noProof/>
          <w:lang w:eastAsia="en-GB"/>
        </w:rPr>
        <w:t xml:space="preserve">This task allows partners of Towards INMS to share expertise across the project, especially in the development of methods for inventory development and model application. </w:t>
      </w:r>
      <w:r w:rsidR="004C3595">
        <w:rPr>
          <w:noProof/>
          <w:lang w:eastAsia="en-GB"/>
        </w:rPr>
        <w:t xml:space="preserve"> </w:t>
      </w:r>
      <w:r>
        <w:rPr>
          <w:noProof/>
          <w:lang w:eastAsia="en-GB"/>
        </w:rPr>
        <w:t xml:space="preserve">The task can also be useful for sharing expertise on nitrogen measurement methods, especially in linking up between air, land and water parts of the nitrogen cycle. The main focus will be to support sharing of expertise between INMS partners leading in their respective fields </w:t>
      </w:r>
      <w:r w:rsidR="005642F8">
        <w:rPr>
          <w:noProof/>
          <w:lang w:eastAsia="en-GB"/>
        </w:rPr>
        <w:t xml:space="preserve">within </w:t>
      </w:r>
      <w:r>
        <w:rPr>
          <w:noProof/>
          <w:lang w:eastAsia="en-GB"/>
        </w:rPr>
        <w:t>the INMS Regional Demonstrations (Component 3)</w:t>
      </w:r>
      <w:r w:rsidR="004E3425">
        <w:rPr>
          <w:noProof/>
          <w:lang w:eastAsia="en-GB"/>
        </w:rPr>
        <w:t>, with funds used to build partnerships.</w:t>
      </w:r>
    </w:p>
    <w:p w14:paraId="450E8983" w14:textId="782CB125" w:rsidR="004E3425" w:rsidRDefault="004E3425" w:rsidP="004C3595">
      <w:pPr>
        <w:rPr>
          <w:noProof/>
          <w:lang w:eastAsia="en-GB"/>
        </w:rPr>
      </w:pPr>
      <w:r>
        <w:rPr>
          <w:noProof/>
          <w:lang w:eastAsia="en-GB"/>
        </w:rPr>
        <w:t>The work will be developed in three stages. Firstly, the descript</w:t>
      </w:r>
      <w:r w:rsidR="00DE150D">
        <w:rPr>
          <w:noProof/>
          <w:lang w:eastAsia="en-GB"/>
        </w:rPr>
        <w:t>i</w:t>
      </w:r>
      <w:r>
        <w:rPr>
          <w:noProof/>
          <w:lang w:eastAsia="en-GB"/>
        </w:rPr>
        <w:t>on of this task will be expanded and presented to the first General Assembly</w:t>
      </w:r>
      <w:r w:rsidR="005642F8">
        <w:rPr>
          <w:noProof/>
          <w:lang w:eastAsia="en-GB"/>
        </w:rPr>
        <w:t>, with a propose set of priority criteria and topics areas for likely support</w:t>
      </w:r>
      <w:r>
        <w:rPr>
          <w:noProof/>
          <w:lang w:eastAsia="en-GB"/>
        </w:rPr>
        <w:t>. It will be up to the General Assembly to inform in case re</w:t>
      </w:r>
      <w:r w:rsidR="005642F8">
        <w:rPr>
          <w:noProof/>
          <w:lang w:eastAsia="en-GB"/>
        </w:rPr>
        <w:t xml:space="preserve">lative priorities should change. A starting position on </w:t>
      </w:r>
      <w:r w:rsidR="008B01BD">
        <w:rPr>
          <w:noProof/>
          <w:lang w:eastAsia="en-GB"/>
        </w:rPr>
        <w:t xml:space="preserve">criteria </w:t>
      </w:r>
      <w:r w:rsidR="005642F8">
        <w:rPr>
          <w:noProof/>
          <w:lang w:eastAsia="en-GB"/>
        </w:rPr>
        <w:t>for prioritizing support is as follows</w:t>
      </w:r>
      <w:r>
        <w:rPr>
          <w:noProof/>
          <w:lang w:eastAsia="en-GB"/>
        </w:rPr>
        <w:t>: a) internationally leading sharing of expertise, b) a speci</w:t>
      </w:r>
      <w:r w:rsidR="008B01BD">
        <w:rPr>
          <w:noProof/>
          <w:lang w:eastAsia="en-GB"/>
        </w:rPr>
        <w:t>fic request for support from an</w:t>
      </w:r>
      <w:r>
        <w:rPr>
          <w:noProof/>
          <w:lang w:eastAsia="en-GB"/>
        </w:rPr>
        <w:t xml:space="preserve"> INMS regional demo</w:t>
      </w:r>
      <w:r w:rsidR="008B01BD">
        <w:rPr>
          <w:noProof/>
          <w:lang w:eastAsia="en-GB"/>
        </w:rPr>
        <w:t>nstation</w:t>
      </w:r>
      <w:r>
        <w:rPr>
          <w:noProof/>
          <w:lang w:eastAsia="en-GB"/>
        </w:rPr>
        <w:t xml:space="preserve">, c) first priority to N inventory and model development, but cases for sharing of measurement methods also </w:t>
      </w:r>
      <w:r w:rsidR="008B01BD">
        <w:rPr>
          <w:noProof/>
          <w:lang w:eastAsia="en-GB"/>
        </w:rPr>
        <w:t xml:space="preserve">to be </w:t>
      </w:r>
      <w:r>
        <w:rPr>
          <w:noProof/>
          <w:lang w:eastAsia="en-GB"/>
        </w:rPr>
        <w:t>c</w:t>
      </w:r>
      <w:r w:rsidR="008B01BD">
        <w:rPr>
          <w:noProof/>
          <w:lang w:eastAsia="en-GB"/>
        </w:rPr>
        <w:t>onsidered.</w:t>
      </w:r>
      <w:r w:rsidR="005642F8">
        <w:rPr>
          <w:noProof/>
          <w:lang w:eastAsia="en-GB"/>
        </w:rPr>
        <w:t xml:space="preserve">  </w:t>
      </w:r>
    </w:p>
    <w:p w14:paraId="352DCF38" w14:textId="71357EE2" w:rsidR="00382984" w:rsidRDefault="004E3425" w:rsidP="00382984">
      <w:pPr>
        <w:rPr>
          <w:noProof/>
          <w:lang w:eastAsia="en-GB"/>
        </w:rPr>
      </w:pPr>
      <w:r>
        <w:rPr>
          <w:noProof/>
          <w:lang w:eastAsia="en-GB"/>
        </w:rPr>
        <w:t xml:space="preserve">Based on this confirmation, a call for short term misssions will be announced, and a short application form developed.  It is anticipated that the application form should include: </w:t>
      </w:r>
    </w:p>
    <w:p w14:paraId="209D6474" w14:textId="6594E382" w:rsidR="004E3425" w:rsidRDefault="00382984" w:rsidP="00382984">
      <w:pPr>
        <w:pStyle w:val="ListParagraph"/>
        <w:numPr>
          <w:ilvl w:val="0"/>
          <w:numId w:val="19"/>
        </w:numPr>
        <w:rPr>
          <w:noProof/>
          <w:lang w:eastAsia="en-GB"/>
        </w:rPr>
      </w:pPr>
      <w:r>
        <w:rPr>
          <w:noProof/>
          <w:lang w:eastAsia="en-GB"/>
        </w:rPr>
        <w:t>N</w:t>
      </w:r>
      <w:r w:rsidR="004E3425">
        <w:rPr>
          <w:noProof/>
          <w:lang w:eastAsia="en-GB"/>
        </w:rPr>
        <w:t>ame of the requesting INMS demo region, name and coordinates of the lead person requesting;</w:t>
      </w:r>
    </w:p>
    <w:p w14:paraId="3D4EA230" w14:textId="56AB8C4F" w:rsidR="004E3425" w:rsidRDefault="00382984" w:rsidP="00382984">
      <w:pPr>
        <w:pStyle w:val="ListParagraph"/>
        <w:numPr>
          <w:ilvl w:val="0"/>
          <w:numId w:val="18"/>
        </w:numPr>
        <w:rPr>
          <w:noProof/>
          <w:lang w:eastAsia="en-GB"/>
        </w:rPr>
      </w:pPr>
      <w:r>
        <w:rPr>
          <w:noProof/>
          <w:lang w:eastAsia="en-GB"/>
        </w:rPr>
        <w:t>N</w:t>
      </w:r>
      <w:r w:rsidR="004E3425">
        <w:rPr>
          <w:noProof/>
          <w:lang w:eastAsia="en-GB"/>
        </w:rPr>
        <w:t xml:space="preserve">ame of the INMS partner organization to undertake the mission; </w:t>
      </w:r>
    </w:p>
    <w:p w14:paraId="2661C774" w14:textId="44D33578" w:rsidR="004C3595" w:rsidRDefault="00382984" w:rsidP="00382984">
      <w:pPr>
        <w:pStyle w:val="ListParagraph"/>
        <w:numPr>
          <w:ilvl w:val="0"/>
          <w:numId w:val="18"/>
        </w:numPr>
        <w:rPr>
          <w:noProof/>
          <w:lang w:eastAsia="en-GB"/>
        </w:rPr>
      </w:pPr>
      <w:r>
        <w:rPr>
          <w:noProof/>
          <w:lang w:eastAsia="en-GB"/>
        </w:rPr>
        <w:t>N</w:t>
      </w:r>
      <w:r w:rsidR="004E3425">
        <w:rPr>
          <w:noProof/>
          <w:lang w:eastAsia="en-GB"/>
        </w:rPr>
        <w:t>ame of the INMS partner expert to undertake the mission;</w:t>
      </w:r>
    </w:p>
    <w:p w14:paraId="50BFDAD4" w14:textId="6F9C7DBB" w:rsidR="004E3425" w:rsidRDefault="004E3425" w:rsidP="00382984">
      <w:pPr>
        <w:pStyle w:val="ListParagraph"/>
        <w:numPr>
          <w:ilvl w:val="0"/>
          <w:numId w:val="18"/>
        </w:numPr>
        <w:rPr>
          <w:noProof/>
          <w:lang w:eastAsia="en-GB"/>
        </w:rPr>
      </w:pPr>
      <w:r>
        <w:rPr>
          <w:noProof/>
          <w:lang w:eastAsia="en-GB"/>
        </w:rPr>
        <w:t>Title of the mission;</w:t>
      </w:r>
    </w:p>
    <w:p w14:paraId="4D1D1431" w14:textId="0A4F243C" w:rsidR="004E3425" w:rsidRDefault="004E3425" w:rsidP="00382984">
      <w:pPr>
        <w:pStyle w:val="ListParagraph"/>
        <w:numPr>
          <w:ilvl w:val="0"/>
          <w:numId w:val="18"/>
        </w:numPr>
        <w:rPr>
          <w:noProof/>
          <w:lang w:eastAsia="en-GB"/>
        </w:rPr>
      </w:pPr>
      <w:r>
        <w:rPr>
          <w:noProof/>
          <w:lang w:eastAsia="en-GB"/>
        </w:rPr>
        <w:lastRenderedPageBreak/>
        <w:t>Short descriptio</w:t>
      </w:r>
      <w:r w:rsidR="00382984">
        <w:rPr>
          <w:noProof/>
          <w:lang w:eastAsia="en-GB"/>
        </w:rPr>
        <w:t>n of the purpose of the mission</w:t>
      </w:r>
      <w:r>
        <w:rPr>
          <w:noProof/>
          <w:lang w:eastAsia="en-GB"/>
        </w:rPr>
        <w:t>;</w:t>
      </w:r>
    </w:p>
    <w:p w14:paraId="61905848" w14:textId="75D5EF0D" w:rsidR="004E3425" w:rsidRDefault="004E3425" w:rsidP="00382984">
      <w:pPr>
        <w:pStyle w:val="ListParagraph"/>
        <w:numPr>
          <w:ilvl w:val="0"/>
          <w:numId w:val="18"/>
        </w:numPr>
        <w:rPr>
          <w:noProof/>
          <w:lang w:eastAsia="en-GB"/>
        </w:rPr>
      </w:pPr>
      <w:r>
        <w:rPr>
          <w:noProof/>
          <w:lang w:eastAsia="en-GB"/>
        </w:rPr>
        <w:t>Short description of the anticipated outcomes</w:t>
      </w:r>
      <w:r w:rsidR="00382984">
        <w:rPr>
          <w:noProof/>
          <w:lang w:eastAsia="en-GB"/>
        </w:rPr>
        <w:t>;</w:t>
      </w:r>
    </w:p>
    <w:p w14:paraId="03A2A676" w14:textId="192DCA85" w:rsidR="00382984" w:rsidRDefault="00382984" w:rsidP="00382984">
      <w:pPr>
        <w:pStyle w:val="ListParagraph"/>
        <w:numPr>
          <w:ilvl w:val="0"/>
          <w:numId w:val="18"/>
        </w:numPr>
        <w:rPr>
          <w:noProof/>
          <w:lang w:eastAsia="en-GB"/>
        </w:rPr>
      </w:pPr>
      <w:r>
        <w:rPr>
          <w:noProof/>
          <w:lang w:eastAsia="en-GB"/>
        </w:rPr>
        <w:t>Amount of grant requested;</w:t>
      </w:r>
    </w:p>
    <w:p w14:paraId="69DB3ED7" w14:textId="217DD6F9" w:rsidR="00382984" w:rsidRDefault="00382984" w:rsidP="00382984">
      <w:pPr>
        <w:pStyle w:val="ListParagraph"/>
        <w:numPr>
          <w:ilvl w:val="0"/>
          <w:numId w:val="18"/>
        </w:numPr>
        <w:rPr>
          <w:noProof/>
          <w:lang w:eastAsia="en-GB"/>
        </w:rPr>
      </w:pPr>
      <w:r>
        <w:rPr>
          <w:noProof/>
          <w:lang w:eastAsia="en-GB"/>
        </w:rPr>
        <w:t>Short statement by receiving INMS demo</w:t>
      </w:r>
      <w:r w:rsidR="008B01BD">
        <w:rPr>
          <w:noProof/>
          <w:lang w:eastAsia="en-GB"/>
        </w:rPr>
        <w:t>nstration</w:t>
      </w:r>
      <w:r>
        <w:rPr>
          <w:noProof/>
          <w:lang w:eastAsia="en-GB"/>
        </w:rPr>
        <w:t xml:space="preserve"> region of its interest to host the mission;</w:t>
      </w:r>
    </w:p>
    <w:p w14:paraId="4A873D71" w14:textId="73ACC3F4" w:rsidR="004E3425" w:rsidRDefault="00382984" w:rsidP="00382984">
      <w:pPr>
        <w:pStyle w:val="ListParagraph"/>
        <w:numPr>
          <w:ilvl w:val="0"/>
          <w:numId w:val="18"/>
        </w:numPr>
        <w:rPr>
          <w:noProof/>
          <w:lang w:eastAsia="en-GB"/>
        </w:rPr>
      </w:pPr>
      <w:r>
        <w:rPr>
          <w:noProof/>
          <w:lang w:eastAsia="en-GB"/>
        </w:rPr>
        <w:t>Applicant’s c</w:t>
      </w:r>
      <w:r w:rsidR="004E3425">
        <w:rPr>
          <w:noProof/>
          <w:lang w:eastAsia="en-GB"/>
        </w:rPr>
        <w:t>onfirmation of agreement to deliver the mission report</w:t>
      </w:r>
      <w:r w:rsidR="008B01BD">
        <w:rPr>
          <w:noProof/>
          <w:lang w:eastAsia="en-GB"/>
        </w:rPr>
        <w:t xml:space="preserve"> by a set date</w:t>
      </w:r>
      <w:r>
        <w:rPr>
          <w:noProof/>
          <w:lang w:eastAsia="en-GB"/>
        </w:rPr>
        <w:t>.</w:t>
      </w:r>
    </w:p>
    <w:p w14:paraId="7642B88F" w14:textId="3C92B50B" w:rsidR="004E3425" w:rsidRDefault="004E3425" w:rsidP="004C3595">
      <w:pPr>
        <w:rPr>
          <w:noProof/>
          <w:lang w:eastAsia="en-GB"/>
        </w:rPr>
      </w:pPr>
      <w:r>
        <w:rPr>
          <w:noProof/>
          <w:lang w:eastAsia="en-GB"/>
        </w:rPr>
        <w:t>Requests for prepar</w:t>
      </w:r>
      <w:r w:rsidR="00DE150D">
        <w:rPr>
          <w:noProof/>
          <w:lang w:eastAsia="en-GB"/>
        </w:rPr>
        <w:t>a</w:t>
      </w:r>
      <w:r>
        <w:rPr>
          <w:noProof/>
          <w:lang w:eastAsia="en-GB"/>
        </w:rPr>
        <w:t xml:space="preserve">tory engagement from candidates for future INMS demonstration regions may also be considered. </w:t>
      </w:r>
      <w:r w:rsidR="00382984">
        <w:rPr>
          <w:noProof/>
          <w:lang w:eastAsia="en-GB"/>
        </w:rPr>
        <w:t xml:space="preserve">It is anticipated that the Task leaders will involve selected other INMS Partners and members of the Science and Policy Advisory Group (SPAG) to support the review </w:t>
      </w:r>
      <w:r w:rsidR="00E53164">
        <w:rPr>
          <w:noProof/>
          <w:lang w:eastAsia="en-GB"/>
        </w:rPr>
        <w:t xml:space="preserve">process. It is anticipated that </w:t>
      </w:r>
      <w:r w:rsidR="00382984">
        <w:rPr>
          <w:noProof/>
          <w:lang w:eastAsia="en-GB"/>
        </w:rPr>
        <w:t>deadline</w:t>
      </w:r>
      <w:r w:rsidR="00E53164">
        <w:rPr>
          <w:noProof/>
          <w:lang w:eastAsia="en-GB"/>
        </w:rPr>
        <w:t>s</w:t>
      </w:r>
      <w:r w:rsidR="00382984">
        <w:rPr>
          <w:noProof/>
          <w:lang w:eastAsia="en-GB"/>
        </w:rPr>
        <w:t xml:space="preserve"> for applications </w:t>
      </w:r>
      <w:r w:rsidR="00E53164">
        <w:rPr>
          <w:noProof/>
          <w:lang w:eastAsia="en-GB"/>
        </w:rPr>
        <w:t xml:space="preserve">may </w:t>
      </w:r>
      <w:r w:rsidR="00382984">
        <w:rPr>
          <w:noProof/>
          <w:lang w:eastAsia="en-GB"/>
        </w:rPr>
        <w:t xml:space="preserve">be set, with calls during Year 1, Year 2 and Year 3. </w:t>
      </w:r>
    </w:p>
    <w:p w14:paraId="3A72ACF5" w14:textId="77777777" w:rsidR="004C3595" w:rsidRDefault="004C3595" w:rsidP="004C3595"/>
    <w:p w14:paraId="5C62040A" w14:textId="09E7D83A" w:rsidR="004C3595" w:rsidRPr="00B7395B" w:rsidRDefault="004C3595" w:rsidP="004C3595">
      <w:pPr>
        <w:pStyle w:val="Heading4"/>
        <w:numPr>
          <w:ilvl w:val="0"/>
          <w:numId w:val="0"/>
        </w:numPr>
        <w:ind w:left="864" w:hanging="864"/>
        <w:rPr>
          <w:noProof/>
        </w:rPr>
      </w:pPr>
      <w:r w:rsidRPr="00B7395B">
        <w:rPr>
          <w:noProof/>
        </w:rPr>
        <w:t xml:space="preserve">Task </w:t>
      </w:r>
      <w:r>
        <w:rPr>
          <w:noProof/>
        </w:rPr>
        <w:t>2</w:t>
      </w:r>
      <w:r w:rsidRPr="00B7395B">
        <w:rPr>
          <w:noProof/>
        </w:rPr>
        <w:t>.1.</w:t>
      </w:r>
      <w:r w:rsidR="00096B75">
        <w:rPr>
          <w:noProof/>
        </w:rPr>
        <w:t>3</w:t>
      </w:r>
      <w:r w:rsidRPr="00B7395B">
        <w:rPr>
          <w:noProof/>
        </w:rPr>
        <w:t xml:space="preserve">:  </w:t>
      </w:r>
      <w:r w:rsidR="00096B75" w:rsidRPr="00096B75">
        <w:rPr>
          <w:noProof/>
        </w:rPr>
        <w:t>Combined analysis of present N flows and impacts at global and regional scales</w:t>
      </w:r>
    </w:p>
    <w:p w14:paraId="78527EA7" w14:textId="50C1F15F" w:rsidR="00096B75" w:rsidRPr="00096B75" w:rsidRDefault="004C3595" w:rsidP="00096B75">
      <w:pPr>
        <w:ind w:firstLine="720"/>
        <w:rPr>
          <w:b/>
          <w:i/>
          <w:noProof/>
        </w:rPr>
      </w:pPr>
      <w:r w:rsidRPr="00704FBC">
        <w:rPr>
          <w:b/>
          <w:i/>
          <w:noProof/>
        </w:rPr>
        <w:t xml:space="preserve">Task Output </w:t>
      </w:r>
      <w:r>
        <w:rPr>
          <w:b/>
          <w:i/>
          <w:noProof/>
        </w:rPr>
        <w:t>2</w:t>
      </w:r>
      <w:r w:rsidRPr="00704FBC">
        <w:rPr>
          <w:b/>
          <w:i/>
          <w:noProof/>
        </w:rPr>
        <w:t>.1.</w:t>
      </w:r>
      <w:r w:rsidR="00096B75">
        <w:rPr>
          <w:b/>
          <w:i/>
          <w:noProof/>
        </w:rPr>
        <w:t>3</w:t>
      </w:r>
      <w:r w:rsidRPr="00704FBC">
        <w:rPr>
          <w:b/>
          <w:i/>
          <w:noProof/>
        </w:rPr>
        <w:t xml:space="preserve">: </w:t>
      </w:r>
      <w:r w:rsidR="00096B75" w:rsidRPr="00096B75">
        <w:rPr>
          <w:b/>
          <w:i/>
          <w:noProof/>
        </w:rPr>
        <w:t>Report with data shared on global &amp; regional N flows , threats &amp; benefits</w:t>
      </w:r>
    </w:p>
    <w:p w14:paraId="72211060" w14:textId="63629C77" w:rsidR="004C3595" w:rsidRDefault="004C3595" w:rsidP="004C3595">
      <w:pPr>
        <w:pStyle w:val="Leaders"/>
      </w:pPr>
      <w:r w:rsidRPr="00633B13">
        <w:t xml:space="preserve">Task Co-leads: </w:t>
      </w:r>
      <w:r w:rsidR="00096B75">
        <w:t>Wim de Vries</w:t>
      </w:r>
      <w:r>
        <w:t xml:space="preserve"> (</w:t>
      </w:r>
      <w:r w:rsidR="00096B75">
        <w:t>WUR, NL</w:t>
      </w:r>
      <w:r>
        <w:t xml:space="preserve">) and </w:t>
      </w:r>
      <w:r w:rsidR="00096B75">
        <w:t xml:space="preserve">Marine </w:t>
      </w:r>
      <w:r>
        <w:t>(</w:t>
      </w:r>
      <w:r w:rsidR="00096B75">
        <w:t>tba</w:t>
      </w:r>
      <w:r>
        <w:t>)</w:t>
      </w:r>
    </w:p>
    <w:p w14:paraId="0277C3A8" w14:textId="77777777" w:rsidR="009B4FD1" w:rsidRDefault="00E32E48" w:rsidP="004C3595">
      <w:pPr>
        <w:rPr>
          <w:noProof/>
          <w:lang w:eastAsia="en-GB"/>
        </w:rPr>
      </w:pPr>
      <w:r>
        <w:rPr>
          <w:noProof/>
          <w:lang w:eastAsia="en-GB"/>
        </w:rPr>
        <w:t xml:space="preserve">This activity will focus on bringing together the different model components to deliver an overall analysis of nitrogen flows and impacts for present day conditions. </w:t>
      </w:r>
      <w:r w:rsidR="009B4FD1">
        <w:rPr>
          <w:noProof/>
          <w:lang w:eastAsia="en-GB"/>
        </w:rPr>
        <w:t xml:space="preserve">It will build on the review of available models and model development activities of Component 1, encouring wide involvement from different groups. </w:t>
      </w:r>
    </w:p>
    <w:p w14:paraId="797E370C" w14:textId="7B1CF9A3" w:rsidR="004C3595" w:rsidRDefault="00E32E48" w:rsidP="004C3595">
      <w:pPr>
        <w:rPr>
          <w:noProof/>
          <w:lang w:eastAsia="en-GB"/>
        </w:rPr>
      </w:pPr>
      <w:r>
        <w:rPr>
          <w:noProof/>
          <w:lang w:eastAsia="en-GB"/>
        </w:rPr>
        <w:t xml:space="preserve">For this purpose, agreement will be reached </w:t>
      </w:r>
      <w:r w:rsidR="00E53164">
        <w:rPr>
          <w:noProof/>
          <w:lang w:eastAsia="en-GB"/>
        </w:rPr>
        <w:t xml:space="preserve">during the project inception phase on </w:t>
      </w:r>
      <w:r>
        <w:rPr>
          <w:noProof/>
          <w:lang w:eastAsia="en-GB"/>
        </w:rPr>
        <w:t>the best</w:t>
      </w:r>
      <w:r w:rsidR="00E53164">
        <w:rPr>
          <w:noProof/>
          <w:lang w:eastAsia="en-GB"/>
        </w:rPr>
        <w:t>-</w:t>
      </w:r>
      <w:r>
        <w:rPr>
          <w:noProof/>
          <w:lang w:eastAsia="en-GB"/>
        </w:rPr>
        <w:t>suited base year, for which compreh</w:t>
      </w:r>
      <w:r w:rsidR="00E53164">
        <w:rPr>
          <w:noProof/>
          <w:lang w:eastAsia="en-GB"/>
        </w:rPr>
        <w:t xml:space="preserve">ensive datasets are available. </w:t>
      </w:r>
      <w:r>
        <w:rPr>
          <w:noProof/>
          <w:lang w:eastAsia="en-GB"/>
        </w:rPr>
        <w:t xml:space="preserve"> It is ancipated that each of the main N flows, environmental compartments, and effects identified in Component 1 will be addressed using the agreed model cluster.  It will be left open to the results of Activity 1.5</w:t>
      </w:r>
      <w:r w:rsidR="00AB104C">
        <w:rPr>
          <w:noProof/>
          <w:lang w:eastAsia="en-GB"/>
        </w:rPr>
        <w:t>,</w:t>
      </w:r>
      <w:r>
        <w:rPr>
          <w:noProof/>
          <w:lang w:eastAsia="en-GB"/>
        </w:rPr>
        <w:t xml:space="preserve"> and subsequent confirmation with the </w:t>
      </w:r>
      <w:r w:rsidR="009B4FD1">
        <w:rPr>
          <w:noProof/>
          <w:lang w:eastAsia="en-GB"/>
        </w:rPr>
        <w:t>Project Management Board (</w:t>
      </w:r>
      <w:r>
        <w:rPr>
          <w:noProof/>
          <w:lang w:eastAsia="en-GB"/>
        </w:rPr>
        <w:t>PM</w:t>
      </w:r>
      <w:r w:rsidR="00E53164">
        <w:rPr>
          <w:noProof/>
          <w:lang w:eastAsia="en-GB"/>
        </w:rPr>
        <w:t>B</w:t>
      </w:r>
      <w:r w:rsidR="009B4FD1">
        <w:rPr>
          <w:noProof/>
          <w:lang w:eastAsia="en-GB"/>
        </w:rPr>
        <w:t>)</w:t>
      </w:r>
      <w:r>
        <w:rPr>
          <w:noProof/>
          <w:lang w:eastAsia="en-GB"/>
        </w:rPr>
        <w:t xml:space="preserve"> and General Assembly</w:t>
      </w:r>
      <w:r w:rsidR="009B4FD1">
        <w:rPr>
          <w:noProof/>
          <w:lang w:eastAsia="en-GB"/>
        </w:rPr>
        <w:t xml:space="preserve"> (GA)</w:t>
      </w:r>
      <w:r w:rsidR="00AB104C">
        <w:rPr>
          <w:noProof/>
          <w:lang w:eastAsia="en-GB"/>
        </w:rPr>
        <w:t>,</w:t>
      </w:r>
      <w:r>
        <w:rPr>
          <w:noProof/>
          <w:lang w:eastAsia="en-GB"/>
        </w:rPr>
        <w:t xml:space="preserve"> how the model cluster should look for this purpose.  This is because a balancing act </w:t>
      </w:r>
      <w:r w:rsidR="00E53164">
        <w:rPr>
          <w:noProof/>
          <w:lang w:eastAsia="en-GB"/>
        </w:rPr>
        <w:t>will</w:t>
      </w:r>
      <w:r w:rsidR="009B4FD1">
        <w:rPr>
          <w:noProof/>
          <w:lang w:eastAsia="en-GB"/>
        </w:rPr>
        <w:t xml:space="preserve"> be </w:t>
      </w:r>
      <w:r>
        <w:rPr>
          <w:noProof/>
          <w:lang w:eastAsia="en-GB"/>
        </w:rPr>
        <w:t>needed</w:t>
      </w:r>
      <w:r w:rsidR="00AB104C">
        <w:rPr>
          <w:noProof/>
          <w:lang w:eastAsia="en-GB"/>
        </w:rPr>
        <w:t xml:space="preserve"> that addresses the necessary comprehensive approach, while recognizing that the GEF contribution to Towards INMS only provides a fraction of the necessary costs. </w:t>
      </w:r>
      <w:r w:rsidR="00E53164">
        <w:rPr>
          <w:noProof/>
          <w:lang w:eastAsia="en-GB"/>
        </w:rPr>
        <w:t>Conversely, t</w:t>
      </w:r>
      <w:r w:rsidR="00AB104C">
        <w:rPr>
          <w:noProof/>
          <w:lang w:eastAsia="en-GB"/>
        </w:rPr>
        <w:t>he substantial co-f</w:t>
      </w:r>
      <w:r w:rsidR="00E53164">
        <w:rPr>
          <w:noProof/>
          <w:lang w:eastAsia="en-GB"/>
        </w:rPr>
        <w:t xml:space="preserve">inancing contributions </w:t>
      </w:r>
      <w:r w:rsidR="00AB104C">
        <w:rPr>
          <w:noProof/>
          <w:lang w:eastAsia="en-GB"/>
        </w:rPr>
        <w:t xml:space="preserve">may enable the combined analysis to include comparison of several models for </w:t>
      </w:r>
      <w:r w:rsidR="00E53164">
        <w:rPr>
          <w:noProof/>
          <w:lang w:eastAsia="en-GB"/>
        </w:rPr>
        <w:t>parts of the nitrogen cycle</w:t>
      </w:r>
      <w:r w:rsidR="00AB104C">
        <w:rPr>
          <w:noProof/>
          <w:lang w:eastAsia="en-GB"/>
        </w:rPr>
        <w:t xml:space="preserve">, thereby increasing robustness of the outcomes.   </w:t>
      </w:r>
    </w:p>
    <w:p w14:paraId="7569099F" w14:textId="6F0F76A0" w:rsidR="00AB104C" w:rsidRDefault="00AB104C" w:rsidP="004C3595">
      <w:pPr>
        <w:rPr>
          <w:noProof/>
          <w:lang w:eastAsia="en-GB"/>
        </w:rPr>
      </w:pPr>
      <w:r>
        <w:rPr>
          <w:noProof/>
          <w:lang w:eastAsia="en-GB"/>
        </w:rPr>
        <w:t xml:space="preserve">A close link is envisaged between this activity and the preparation of the consolidated global assessment of nitrogen fluxes, pathways and impacts. It is therefore expected that as the overall synthesis </w:t>
      </w:r>
      <w:r w:rsidR="009B4FD1">
        <w:rPr>
          <w:noProof/>
          <w:lang w:eastAsia="en-GB"/>
        </w:rPr>
        <w:t xml:space="preserve">effort </w:t>
      </w:r>
      <w:r>
        <w:rPr>
          <w:noProof/>
          <w:lang w:eastAsia="en-GB"/>
        </w:rPr>
        <w:t>under Activity 2.2 develops</w:t>
      </w:r>
      <w:r w:rsidR="00396E7B">
        <w:rPr>
          <w:noProof/>
          <w:lang w:eastAsia="en-GB"/>
        </w:rPr>
        <w:t>, it will</w:t>
      </w:r>
      <w:r>
        <w:rPr>
          <w:noProof/>
          <w:lang w:eastAsia="en-GB"/>
        </w:rPr>
        <w:t xml:space="preserve"> </w:t>
      </w:r>
      <w:r w:rsidR="00E53164">
        <w:rPr>
          <w:noProof/>
          <w:lang w:eastAsia="en-GB"/>
        </w:rPr>
        <w:t>feed</w:t>
      </w:r>
      <w:r>
        <w:rPr>
          <w:noProof/>
          <w:lang w:eastAsia="en-GB"/>
        </w:rPr>
        <w:t xml:space="preserve">back to identify priority recommendations for Task 2.1.3, as well as specific requests for ways to visualise the outcomes.  </w:t>
      </w:r>
    </w:p>
    <w:p w14:paraId="4CCF00BD" w14:textId="3187F0A1" w:rsidR="00AB104C" w:rsidRDefault="00AB104C" w:rsidP="004C3595">
      <w:pPr>
        <w:rPr>
          <w:noProof/>
          <w:lang w:eastAsia="en-GB"/>
        </w:rPr>
      </w:pPr>
      <w:r>
        <w:rPr>
          <w:noProof/>
          <w:lang w:eastAsia="en-GB"/>
        </w:rPr>
        <w:t>To support this process, the report for this task</w:t>
      </w:r>
      <w:r w:rsidR="00396E7B">
        <w:rPr>
          <w:noProof/>
          <w:lang w:eastAsia="en-GB"/>
        </w:rPr>
        <w:t xml:space="preserve"> will</w:t>
      </w:r>
      <w:r>
        <w:rPr>
          <w:noProof/>
          <w:lang w:eastAsia="en-GB"/>
        </w:rPr>
        <w:t xml:space="preserve"> </w:t>
      </w:r>
      <w:r w:rsidR="00E53164">
        <w:rPr>
          <w:noProof/>
          <w:lang w:eastAsia="en-GB"/>
        </w:rPr>
        <w:t xml:space="preserve">provide material to stimulate </w:t>
      </w:r>
      <w:r>
        <w:rPr>
          <w:noProof/>
          <w:lang w:eastAsia="en-GB"/>
        </w:rPr>
        <w:t xml:space="preserve">feedback from the </w:t>
      </w:r>
      <w:r w:rsidR="009B4FD1">
        <w:rPr>
          <w:noProof/>
          <w:lang w:eastAsia="en-GB"/>
        </w:rPr>
        <w:t xml:space="preserve">GA </w:t>
      </w:r>
      <w:r>
        <w:rPr>
          <w:noProof/>
          <w:lang w:eastAsia="en-GB"/>
        </w:rPr>
        <w:t xml:space="preserve">and </w:t>
      </w:r>
      <w:r w:rsidR="009B4FD1">
        <w:rPr>
          <w:noProof/>
          <w:lang w:eastAsia="en-GB"/>
        </w:rPr>
        <w:t>the Stakeholder and Policy Advisory Group (</w:t>
      </w:r>
      <w:r>
        <w:rPr>
          <w:noProof/>
          <w:lang w:eastAsia="en-GB"/>
        </w:rPr>
        <w:t>SPAG</w:t>
      </w:r>
      <w:r w:rsidR="009B4FD1">
        <w:rPr>
          <w:noProof/>
          <w:lang w:eastAsia="en-GB"/>
        </w:rPr>
        <w:t>)</w:t>
      </w:r>
      <w:r>
        <w:rPr>
          <w:noProof/>
          <w:lang w:eastAsia="en-GB"/>
        </w:rPr>
        <w:t>, on how this may be best presented</w:t>
      </w:r>
      <w:r w:rsidR="00E53164">
        <w:rPr>
          <w:noProof/>
          <w:lang w:eastAsia="en-GB"/>
        </w:rPr>
        <w:t>, e.g.</w:t>
      </w:r>
      <w:r>
        <w:rPr>
          <w:noProof/>
          <w:lang w:eastAsia="en-GB"/>
        </w:rPr>
        <w:t xml:space="preserve"> as </w:t>
      </w:r>
      <w:r w:rsidR="00E53164">
        <w:rPr>
          <w:noProof/>
          <w:lang w:eastAsia="en-GB"/>
        </w:rPr>
        <w:t xml:space="preserve">specific chapters </w:t>
      </w:r>
      <w:r>
        <w:rPr>
          <w:noProof/>
          <w:lang w:eastAsia="en-GB"/>
        </w:rPr>
        <w:t xml:space="preserve">in the overal global assessment of Activity 2.2. </w:t>
      </w:r>
    </w:p>
    <w:p w14:paraId="3A2057DC" w14:textId="77777777" w:rsidR="004C3595" w:rsidRDefault="004C3595" w:rsidP="004C3595"/>
    <w:p w14:paraId="5B72A161" w14:textId="77777777" w:rsidR="009B4FD1" w:rsidRDefault="009B4FD1" w:rsidP="004C3595"/>
    <w:p w14:paraId="57A5F668" w14:textId="77777777" w:rsidR="009B4FD1" w:rsidRDefault="009B4FD1" w:rsidP="004C3595"/>
    <w:p w14:paraId="05D755B0" w14:textId="27A3F93D" w:rsidR="004C3595" w:rsidRPr="00B7395B" w:rsidRDefault="004C3595" w:rsidP="004C3595">
      <w:pPr>
        <w:pStyle w:val="Heading4"/>
        <w:numPr>
          <w:ilvl w:val="0"/>
          <w:numId w:val="0"/>
        </w:numPr>
        <w:ind w:left="864" w:hanging="864"/>
        <w:rPr>
          <w:noProof/>
        </w:rPr>
      </w:pPr>
      <w:r w:rsidRPr="00B7395B">
        <w:rPr>
          <w:noProof/>
        </w:rPr>
        <w:lastRenderedPageBreak/>
        <w:t xml:space="preserve">Task </w:t>
      </w:r>
      <w:r>
        <w:rPr>
          <w:noProof/>
        </w:rPr>
        <w:t>2</w:t>
      </w:r>
      <w:r w:rsidRPr="00B7395B">
        <w:rPr>
          <w:noProof/>
        </w:rPr>
        <w:t>.1.</w:t>
      </w:r>
      <w:r w:rsidR="00096B75">
        <w:rPr>
          <w:noProof/>
        </w:rPr>
        <w:t>4</w:t>
      </w:r>
      <w:r w:rsidRPr="00B7395B">
        <w:rPr>
          <w:noProof/>
        </w:rPr>
        <w:t xml:space="preserve">:  </w:t>
      </w:r>
      <w:r w:rsidR="00096B75" w:rsidRPr="00096B75">
        <w:rPr>
          <w:noProof/>
        </w:rPr>
        <w:t>Quantifying present &amp; future N threats &amp; benefits at global and regional scales</w:t>
      </w:r>
    </w:p>
    <w:p w14:paraId="30FEEE58" w14:textId="2A2F45BC" w:rsidR="004C3595" w:rsidRPr="00704FBC" w:rsidRDefault="004C3595" w:rsidP="004C3595">
      <w:pPr>
        <w:ind w:firstLine="720"/>
        <w:rPr>
          <w:b/>
          <w:i/>
          <w:noProof/>
        </w:rPr>
      </w:pPr>
      <w:r w:rsidRPr="00704FBC">
        <w:rPr>
          <w:b/>
          <w:i/>
          <w:noProof/>
        </w:rPr>
        <w:t xml:space="preserve">Task Output </w:t>
      </w:r>
      <w:r>
        <w:rPr>
          <w:b/>
          <w:i/>
          <w:noProof/>
        </w:rPr>
        <w:t>2</w:t>
      </w:r>
      <w:r w:rsidRPr="00704FBC">
        <w:rPr>
          <w:b/>
          <w:i/>
          <w:noProof/>
        </w:rPr>
        <w:t>.1.</w:t>
      </w:r>
      <w:r w:rsidR="00096B75">
        <w:rPr>
          <w:b/>
          <w:i/>
          <w:noProof/>
        </w:rPr>
        <w:t>4</w:t>
      </w:r>
      <w:r w:rsidRPr="00704FBC">
        <w:rPr>
          <w:b/>
          <w:i/>
          <w:noProof/>
        </w:rPr>
        <w:t xml:space="preserve">: </w:t>
      </w:r>
      <w:r w:rsidR="00096B75" w:rsidRPr="00096B75">
        <w:rPr>
          <w:b/>
          <w:i/>
          <w:noProof/>
        </w:rPr>
        <w:t>Report comparing present situation with future scenarios of benefits and threats</w:t>
      </w:r>
    </w:p>
    <w:p w14:paraId="28C8E7D5" w14:textId="77777777" w:rsidR="00E32E48" w:rsidRDefault="00E32E48" w:rsidP="00E32E48">
      <w:pPr>
        <w:pStyle w:val="Leaders"/>
      </w:pPr>
      <w:r w:rsidRPr="00633B13">
        <w:t xml:space="preserve">Task Co-leads: </w:t>
      </w:r>
      <w:r>
        <w:t>Wim de Vries (WUR, NL) and Marine (tba)</w:t>
      </w:r>
    </w:p>
    <w:p w14:paraId="114334F6" w14:textId="0E6383FF" w:rsidR="004C3595" w:rsidRDefault="003E1784" w:rsidP="004C3595">
      <w:pPr>
        <w:rPr>
          <w:noProof/>
          <w:lang w:eastAsia="en-GB"/>
        </w:rPr>
      </w:pPr>
      <w:r>
        <w:rPr>
          <w:noProof/>
          <w:lang w:eastAsia="en-GB"/>
        </w:rPr>
        <w:t>Based on the global scale modelling of N flows, threats and benefits for present conditions (Task 2.1.3) the approach will then be extended to address key global scenarios of possible future conditions. This will be informed by Activity 2.4 which will work to develop future nitrogen storylines and scenarios. While the focus of Activity 2.4 will be on envisioning different possible future outcomes and what might be needed to get the</w:t>
      </w:r>
      <w:r w:rsidR="00396E7B">
        <w:rPr>
          <w:noProof/>
          <w:lang w:eastAsia="en-GB"/>
        </w:rPr>
        <w:t>re</w:t>
      </w:r>
      <w:r>
        <w:rPr>
          <w:noProof/>
          <w:lang w:eastAsia="en-GB"/>
        </w:rPr>
        <w:t xml:space="preserve"> in broad terms considering the scale of the major drivers and the possible measures, including the possibilities for behavioural change by citizens</w:t>
      </w:r>
      <w:r w:rsidR="00F00C30">
        <w:rPr>
          <w:noProof/>
          <w:lang w:eastAsia="en-GB"/>
        </w:rPr>
        <w:t xml:space="preserve">, the focus of Task 2.1.4 will be to translate these into model runs that can best describe these scenarios. </w:t>
      </w:r>
    </w:p>
    <w:p w14:paraId="513EB845" w14:textId="05A548B0" w:rsidR="00F00C30" w:rsidRDefault="00F00C30" w:rsidP="004C3595">
      <w:pPr>
        <w:rPr>
          <w:noProof/>
          <w:lang w:eastAsia="en-GB"/>
        </w:rPr>
      </w:pPr>
      <w:r>
        <w:rPr>
          <w:noProof/>
          <w:lang w:eastAsia="en-GB"/>
        </w:rPr>
        <w:t>Issues on data availability and model complexity will be used to inform the dialog</w:t>
      </w:r>
      <w:r w:rsidR="00E53164">
        <w:rPr>
          <w:noProof/>
          <w:lang w:eastAsia="en-GB"/>
        </w:rPr>
        <w:t>u</w:t>
      </w:r>
      <w:r>
        <w:rPr>
          <w:noProof/>
          <w:lang w:eastAsia="en-GB"/>
        </w:rPr>
        <w:t xml:space="preserve">e between these two activities, with input from the GA and SPAG </w:t>
      </w:r>
      <w:r w:rsidR="00E53164">
        <w:rPr>
          <w:noProof/>
          <w:lang w:eastAsia="en-GB"/>
        </w:rPr>
        <w:t xml:space="preserve">being used to help clarify </w:t>
      </w:r>
      <w:r>
        <w:rPr>
          <w:noProof/>
          <w:lang w:eastAsia="en-GB"/>
        </w:rPr>
        <w:t>the prioritities for future scenarios (advice on choice of years, connection with other processes) and importan</w:t>
      </w:r>
      <w:r w:rsidR="00E53164">
        <w:rPr>
          <w:noProof/>
          <w:lang w:eastAsia="en-GB"/>
        </w:rPr>
        <w:t>ce of different change options.</w:t>
      </w:r>
      <w:r>
        <w:rPr>
          <w:noProof/>
          <w:lang w:eastAsia="en-GB"/>
        </w:rPr>
        <w:t xml:space="preserve"> Bearing in mind the balance of these issues (resources, versus ambition, versus advice on priorities) agreement will be reached on which future scenarios could be carried through to full application by the INMS model cluster. </w:t>
      </w:r>
    </w:p>
    <w:p w14:paraId="6287257D" w14:textId="30E24262" w:rsidR="00F00C30" w:rsidRDefault="00F00C30" w:rsidP="004C3595">
      <w:pPr>
        <w:rPr>
          <w:noProof/>
          <w:lang w:eastAsia="en-GB"/>
        </w:rPr>
      </w:pPr>
      <w:r>
        <w:rPr>
          <w:noProof/>
          <w:lang w:eastAsia="en-GB"/>
        </w:rPr>
        <w:t>As with the previous task, the report from Task 2.1.4 will provide the opportunity to encourage feedback from the PMB, GA and SPAG, with advice on issues to consider when summarizing the work for the global assessment of Activity 2.2.</w:t>
      </w:r>
    </w:p>
    <w:p w14:paraId="7A12B114" w14:textId="77777777" w:rsidR="004C3595" w:rsidRDefault="004C3595" w:rsidP="00AC7A13">
      <w:pPr>
        <w:rPr>
          <w:noProof/>
          <w:lang w:eastAsia="en-GB"/>
        </w:rPr>
      </w:pPr>
    </w:p>
    <w:p w14:paraId="209DC459" w14:textId="157DAE66" w:rsidR="00B9027C" w:rsidRPr="00B7395B" w:rsidRDefault="00B9027C" w:rsidP="00FA74DC">
      <w:pPr>
        <w:pStyle w:val="Heading3"/>
        <w:rPr>
          <w:noProof/>
        </w:rPr>
      </w:pPr>
      <w:bookmarkStart w:id="16" w:name="_Toc442303837"/>
      <w:r w:rsidRPr="00B7395B">
        <w:rPr>
          <w:noProof/>
          <w:lang w:eastAsia="en-GB"/>
        </w:rPr>
        <w:t xml:space="preserve">Activity </w:t>
      </w:r>
      <w:r>
        <w:rPr>
          <w:noProof/>
          <w:lang w:eastAsia="en-GB"/>
        </w:rPr>
        <w:t>2.2</w:t>
      </w:r>
      <w:r w:rsidRPr="00B7395B">
        <w:rPr>
          <w:noProof/>
          <w:lang w:eastAsia="en-GB"/>
        </w:rPr>
        <w:t xml:space="preserve">:  </w:t>
      </w:r>
      <w:r w:rsidR="00FA74DC" w:rsidRPr="00FA74DC">
        <w:rPr>
          <w:noProof/>
        </w:rPr>
        <w:t>Preparation of global assessment of N fluxes, pathways and impacts assimilating lessons from the regional demonstrations</w:t>
      </w:r>
      <w:bookmarkEnd w:id="16"/>
    </w:p>
    <w:p w14:paraId="5F824A78" w14:textId="6F3FF1F4" w:rsidR="00B9027C" w:rsidRPr="00440C28" w:rsidRDefault="00B9027C" w:rsidP="00FA74DC">
      <w:pPr>
        <w:ind w:left="851"/>
        <w:rPr>
          <w:b/>
          <w:i/>
        </w:rPr>
      </w:pPr>
      <w:r w:rsidRPr="00440C28">
        <w:rPr>
          <w:b/>
          <w:i/>
        </w:rPr>
        <w:t xml:space="preserve">Output </w:t>
      </w:r>
      <w:r>
        <w:rPr>
          <w:b/>
          <w:i/>
        </w:rPr>
        <w:t>2</w:t>
      </w:r>
      <w:r w:rsidRPr="00440C28">
        <w:rPr>
          <w:b/>
          <w:i/>
        </w:rPr>
        <w:t>.</w:t>
      </w:r>
      <w:r w:rsidR="00FA74DC">
        <w:rPr>
          <w:b/>
          <w:i/>
        </w:rPr>
        <w:t>2</w:t>
      </w:r>
      <w:r w:rsidRPr="00440C28">
        <w:rPr>
          <w:b/>
          <w:i/>
        </w:rPr>
        <w:t xml:space="preserve"> </w:t>
      </w:r>
      <w:r w:rsidR="00FA74DC" w:rsidRPr="00FA74DC">
        <w:rPr>
          <w:b/>
          <w:i/>
        </w:rPr>
        <w:t>Detailed overview of regional/local N flux and consolidation into a global assessment of N fluxes, pathways, effects and benefits of improved N management</w:t>
      </w:r>
    </w:p>
    <w:p w14:paraId="246FCA04" w14:textId="01A9CAA8" w:rsidR="00B9027C" w:rsidRPr="00FA74DC" w:rsidRDefault="00B9027C" w:rsidP="00B9027C">
      <w:pPr>
        <w:pStyle w:val="Leaders"/>
      </w:pPr>
      <w:r w:rsidRPr="00B7395B">
        <w:rPr>
          <w:lang w:eastAsia="en-GB"/>
        </w:rPr>
        <w:t xml:space="preserve">Activity Co-Leads:  </w:t>
      </w:r>
      <w:r w:rsidRPr="00B7395B">
        <w:t>INI (</w:t>
      </w:r>
      <w:r w:rsidR="00FA74DC">
        <w:t>Sutton and Howard, PCU, NERC).</w:t>
      </w:r>
    </w:p>
    <w:p w14:paraId="3DDEA339" w14:textId="4D8239CC" w:rsidR="00F00C30" w:rsidRDefault="00B9027C" w:rsidP="00B9027C">
      <w:pPr>
        <w:rPr>
          <w:noProof/>
          <w:lang w:eastAsia="en-GB"/>
        </w:rPr>
      </w:pPr>
      <w:r>
        <w:rPr>
          <w:noProof/>
          <w:lang w:eastAsia="en-GB"/>
        </w:rPr>
        <w:t xml:space="preserve">The </w:t>
      </w:r>
      <w:r w:rsidR="00FA74DC">
        <w:rPr>
          <w:noProof/>
          <w:lang w:eastAsia="en-GB"/>
        </w:rPr>
        <w:t xml:space="preserve">different steps in this </w:t>
      </w:r>
      <w:r>
        <w:rPr>
          <w:noProof/>
          <w:lang w:eastAsia="en-GB"/>
        </w:rPr>
        <w:t>activity are summarized visually in Figure A16.</w:t>
      </w:r>
      <w:r w:rsidR="00FA74DC">
        <w:rPr>
          <w:noProof/>
          <w:lang w:eastAsia="en-GB"/>
        </w:rPr>
        <w:t>2</w:t>
      </w:r>
      <w:r>
        <w:rPr>
          <w:noProof/>
          <w:lang w:eastAsia="en-GB"/>
        </w:rPr>
        <w:t xml:space="preserve">.  </w:t>
      </w:r>
      <w:r w:rsidR="00110562">
        <w:rPr>
          <w:noProof/>
          <w:lang w:eastAsia="en-GB"/>
        </w:rPr>
        <w:t xml:space="preserve">These include preparing the scope and structure of the consolidated assessment, commissioning lead author teams and preparing chapter drafts of the consolidated overview, peer-review of the chapters and revision, preparation of summary documentation supported by a specific review workshop, and finally publishing and disseminating the consolidated assessment. </w:t>
      </w:r>
    </w:p>
    <w:p w14:paraId="7901EB7B" w14:textId="17F021ED" w:rsidR="00110562" w:rsidRDefault="00110562" w:rsidP="00B9027C">
      <w:pPr>
        <w:rPr>
          <w:noProof/>
          <w:lang w:eastAsia="en-GB"/>
        </w:rPr>
      </w:pPr>
      <w:r>
        <w:rPr>
          <w:noProof/>
          <w:lang w:eastAsia="en-GB"/>
        </w:rPr>
        <w:t xml:space="preserve">This activity is an important one for the INMS process as it provides a key vehicle to present and synthesize the main achievements of Towards INMS to a global audience.  </w:t>
      </w:r>
      <w:r w:rsidR="00E53164">
        <w:rPr>
          <w:noProof/>
          <w:lang w:eastAsia="en-GB"/>
        </w:rPr>
        <w:t xml:space="preserve">The </w:t>
      </w:r>
      <w:r>
        <w:rPr>
          <w:noProof/>
          <w:lang w:eastAsia="en-GB"/>
        </w:rPr>
        <w:t xml:space="preserve">synthesis process will </w:t>
      </w:r>
      <w:r w:rsidR="00E53164">
        <w:rPr>
          <w:noProof/>
          <w:lang w:eastAsia="en-GB"/>
        </w:rPr>
        <w:t xml:space="preserve">also </w:t>
      </w:r>
      <w:r>
        <w:rPr>
          <w:noProof/>
          <w:lang w:eastAsia="en-GB"/>
        </w:rPr>
        <w:t xml:space="preserve">allow the key messages to be refined, which will provide the underpinning </w:t>
      </w:r>
      <w:r w:rsidR="00E53164">
        <w:rPr>
          <w:noProof/>
          <w:lang w:eastAsia="en-GB"/>
        </w:rPr>
        <w:t xml:space="preserve">material </w:t>
      </w:r>
      <w:r>
        <w:rPr>
          <w:noProof/>
          <w:lang w:eastAsia="en-GB"/>
        </w:rPr>
        <w:t xml:space="preserve">to support INMS communication and awareness raising in Component 4. </w:t>
      </w:r>
      <w:r w:rsidR="00FB23C8">
        <w:rPr>
          <w:noProof/>
          <w:lang w:eastAsia="en-GB"/>
        </w:rPr>
        <w:t xml:space="preserve"> Experience of the </w:t>
      </w:r>
      <w:r w:rsidR="009B4FD1">
        <w:rPr>
          <w:noProof/>
          <w:lang w:eastAsia="en-GB"/>
        </w:rPr>
        <w:t>Project Coordination Unit (</w:t>
      </w:r>
      <w:r w:rsidR="00FB23C8">
        <w:rPr>
          <w:noProof/>
          <w:lang w:eastAsia="en-GB"/>
        </w:rPr>
        <w:t>PCU</w:t>
      </w:r>
      <w:r w:rsidR="009B4FD1">
        <w:rPr>
          <w:noProof/>
          <w:lang w:eastAsia="en-GB"/>
        </w:rPr>
        <w:t>)</w:t>
      </w:r>
      <w:r w:rsidR="00FB23C8">
        <w:rPr>
          <w:noProof/>
          <w:lang w:eastAsia="en-GB"/>
        </w:rPr>
        <w:t xml:space="preserve"> with other such processes, including the European Nitrogen Assessment and the Global Overview on Nutrient Management – ‘Our Nutrient World’</w:t>
      </w:r>
      <w:r w:rsidR="00E53164">
        <w:rPr>
          <w:noProof/>
          <w:lang w:eastAsia="en-GB"/>
        </w:rPr>
        <w:t>,</w:t>
      </w:r>
      <w:r w:rsidR="00FB23C8">
        <w:rPr>
          <w:noProof/>
          <w:lang w:eastAsia="en-GB"/>
        </w:rPr>
        <w:t xml:space="preserve"> ha</w:t>
      </w:r>
      <w:r w:rsidR="00E53164">
        <w:rPr>
          <w:noProof/>
          <w:lang w:eastAsia="en-GB"/>
        </w:rPr>
        <w:t>s</w:t>
      </w:r>
      <w:r w:rsidR="00FB23C8">
        <w:rPr>
          <w:noProof/>
          <w:lang w:eastAsia="en-GB"/>
        </w:rPr>
        <w:t xml:space="preserve"> shown that such consolidated syntheses have a huge power to communicate on the global stage. In this way, media engagement </w:t>
      </w:r>
      <w:r w:rsidR="00E53164">
        <w:rPr>
          <w:noProof/>
          <w:lang w:eastAsia="en-GB"/>
        </w:rPr>
        <w:t xml:space="preserve">can </w:t>
      </w:r>
      <w:r w:rsidR="00FB23C8">
        <w:rPr>
          <w:noProof/>
          <w:lang w:eastAsia="en-GB"/>
        </w:rPr>
        <w:t xml:space="preserve">stimulate </w:t>
      </w:r>
      <w:r w:rsidR="00E53164">
        <w:rPr>
          <w:noProof/>
          <w:lang w:eastAsia="en-GB"/>
        </w:rPr>
        <w:t xml:space="preserve">public awareness and </w:t>
      </w:r>
      <w:r w:rsidR="00FB23C8">
        <w:rPr>
          <w:noProof/>
          <w:lang w:eastAsia="en-GB"/>
        </w:rPr>
        <w:t xml:space="preserve">policy </w:t>
      </w:r>
      <w:r w:rsidR="00E53164">
        <w:rPr>
          <w:noProof/>
          <w:lang w:eastAsia="en-GB"/>
        </w:rPr>
        <w:t>initiatives, which in turn feed</w:t>
      </w:r>
      <w:r w:rsidR="00FB23C8">
        <w:rPr>
          <w:noProof/>
          <w:lang w:eastAsia="en-GB"/>
        </w:rPr>
        <w:t xml:space="preserve"> back to develop future opportunities</w:t>
      </w:r>
      <w:r w:rsidR="00E53164">
        <w:rPr>
          <w:noProof/>
          <w:lang w:eastAsia="en-GB"/>
        </w:rPr>
        <w:t xml:space="preserve"> in international mobilization</w:t>
      </w:r>
      <w:r w:rsidR="00FB23C8">
        <w:rPr>
          <w:noProof/>
          <w:lang w:eastAsia="en-GB"/>
        </w:rPr>
        <w:t xml:space="preserve"> faciliating changes in practice on the ground.</w:t>
      </w:r>
    </w:p>
    <w:p w14:paraId="1437FD06" w14:textId="72523A44" w:rsidR="00FB23C8" w:rsidRDefault="00FB23C8" w:rsidP="00B9027C">
      <w:pPr>
        <w:rPr>
          <w:noProof/>
          <w:lang w:eastAsia="en-GB"/>
        </w:rPr>
      </w:pPr>
      <w:r>
        <w:rPr>
          <w:noProof/>
          <w:lang w:eastAsia="en-GB"/>
        </w:rPr>
        <w:t xml:space="preserve">The very process of preparing such a synthesis is also expected to </w:t>
      </w:r>
      <w:r w:rsidR="00917BA9">
        <w:rPr>
          <w:noProof/>
          <w:lang w:eastAsia="en-GB"/>
        </w:rPr>
        <w:t xml:space="preserve">stimulate new ideas in the </w:t>
      </w:r>
      <w:r>
        <w:rPr>
          <w:noProof/>
          <w:lang w:eastAsia="en-GB"/>
        </w:rPr>
        <w:t xml:space="preserve">targeted research itself. For example, the process of identifying key parts of the global </w:t>
      </w:r>
      <w:r w:rsidR="00917BA9">
        <w:rPr>
          <w:noProof/>
          <w:lang w:eastAsia="en-GB"/>
        </w:rPr>
        <w:t xml:space="preserve">report </w:t>
      </w:r>
      <w:r>
        <w:rPr>
          <w:noProof/>
          <w:lang w:eastAsia="en-GB"/>
        </w:rPr>
        <w:t xml:space="preserve">and </w:t>
      </w:r>
      <w:r w:rsidR="00917BA9">
        <w:rPr>
          <w:noProof/>
          <w:lang w:eastAsia="en-GB"/>
        </w:rPr>
        <w:t xml:space="preserve">its potential </w:t>
      </w:r>
      <w:r w:rsidR="00917BA9">
        <w:rPr>
          <w:noProof/>
          <w:lang w:eastAsia="en-GB"/>
        </w:rPr>
        <w:lastRenderedPageBreak/>
        <w:t xml:space="preserve">chapters typically results in other topics/issues being identified </w:t>
      </w:r>
      <w:r>
        <w:rPr>
          <w:noProof/>
          <w:lang w:eastAsia="en-GB"/>
        </w:rPr>
        <w:t xml:space="preserve">where there is currently insufficient attention.  </w:t>
      </w:r>
      <w:r w:rsidR="00917BA9">
        <w:rPr>
          <w:noProof/>
          <w:lang w:eastAsia="en-GB"/>
        </w:rPr>
        <w:t xml:space="preserve">This process may </w:t>
      </w:r>
      <w:r>
        <w:rPr>
          <w:noProof/>
          <w:lang w:eastAsia="en-GB"/>
        </w:rPr>
        <w:t xml:space="preserve">lead to a proposal to amend the INMS work plan, so as to address these new priorities. For this reason, and also given the time taken to prepare such a global synthesis, it is planned that the process will kick off at the start of Towards INMS and run through its full duration. </w:t>
      </w:r>
    </w:p>
    <w:p w14:paraId="25916444" w14:textId="1EC4CB22" w:rsidR="003B2E8E" w:rsidRDefault="00FB23C8" w:rsidP="00B9027C">
      <w:pPr>
        <w:rPr>
          <w:noProof/>
          <w:lang w:eastAsia="en-GB"/>
        </w:rPr>
      </w:pPr>
      <w:r>
        <w:rPr>
          <w:noProof/>
          <w:lang w:eastAsia="en-GB"/>
        </w:rPr>
        <w:t>While this activity is led directly by the PCU, it is expected that it will draw on all the Comp</w:t>
      </w:r>
      <w:r w:rsidR="00886B26">
        <w:rPr>
          <w:noProof/>
          <w:lang w:eastAsia="en-GB"/>
        </w:rPr>
        <w:t>o</w:t>
      </w:r>
      <w:r>
        <w:rPr>
          <w:noProof/>
          <w:lang w:eastAsia="en-GB"/>
        </w:rPr>
        <w:t>nents and Activities.  Specifically, it is planned that Component Leaders will play a key role together in coordinating this process, drawing i</w:t>
      </w:r>
      <w:r w:rsidR="00917BA9">
        <w:rPr>
          <w:noProof/>
          <w:lang w:eastAsia="en-GB"/>
        </w:rPr>
        <w:t>nputs from other INMS partners.</w:t>
      </w:r>
      <w:r>
        <w:rPr>
          <w:noProof/>
          <w:lang w:eastAsia="en-GB"/>
        </w:rPr>
        <w:t xml:space="preserve"> The PCU will make a first proposal</w:t>
      </w:r>
      <w:r w:rsidR="003B2E8E">
        <w:rPr>
          <w:noProof/>
          <w:lang w:eastAsia="en-GB"/>
        </w:rPr>
        <w:t xml:space="preserve"> as to overall structure to the Component Leaders</w:t>
      </w:r>
      <w:r w:rsidR="00917BA9">
        <w:rPr>
          <w:noProof/>
          <w:lang w:eastAsia="en-GB"/>
        </w:rPr>
        <w:t xml:space="preserve">, Implementing Agency and </w:t>
      </w:r>
      <w:r w:rsidR="003B2E8E">
        <w:rPr>
          <w:noProof/>
          <w:lang w:eastAsia="en-GB"/>
        </w:rPr>
        <w:t>Exec</w:t>
      </w:r>
      <w:r w:rsidR="00917BA9">
        <w:rPr>
          <w:noProof/>
          <w:lang w:eastAsia="en-GB"/>
        </w:rPr>
        <w:t>uting Agency (together the PMB)</w:t>
      </w:r>
      <w:r w:rsidR="003B2E8E">
        <w:rPr>
          <w:noProof/>
          <w:lang w:eastAsia="en-GB"/>
        </w:rPr>
        <w:t xml:space="preserve"> for revision and presentation to the SPAG and GA. This will then support a process of mapping of outputs of INMS Activties and Tasks into the global synthesis and, from this, </w:t>
      </w:r>
      <w:r w:rsidR="00917BA9">
        <w:rPr>
          <w:noProof/>
          <w:lang w:eastAsia="en-GB"/>
        </w:rPr>
        <w:t xml:space="preserve">the </w:t>
      </w:r>
      <w:r w:rsidR="003B2E8E">
        <w:rPr>
          <w:noProof/>
          <w:lang w:eastAsia="en-GB"/>
        </w:rPr>
        <w:t xml:space="preserve">nomination of lead and contributing authors. </w:t>
      </w:r>
    </w:p>
    <w:p w14:paraId="4E8D9C76" w14:textId="7EB1A99F" w:rsidR="003B2E8E" w:rsidRDefault="003B2E8E" w:rsidP="00B9027C">
      <w:pPr>
        <w:rPr>
          <w:noProof/>
          <w:lang w:eastAsia="en-GB"/>
        </w:rPr>
      </w:pPr>
      <w:r>
        <w:rPr>
          <w:noProof/>
          <w:lang w:eastAsia="en-GB"/>
        </w:rPr>
        <w:t>In this way, it is anticipated that a first outline concept of the consolidated global assessment will be produced during Year 1 of Towards INMS for review and adoption by the GA. This will then allow a more detailed mapping of chapter responsibilities in Year 2.  The actual drafting would be conducted in Year 3, with final outcomes included during Year 4 (especially where these are not planned to be ready earlier). Finally, peer review and finalization o</w:t>
      </w:r>
      <w:r w:rsidR="00917BA9">
        <w:rPr>
          <w:noProof/>
          <w:lang w:eastAsia="en-GB"/>
        </w:rPr>
        <w:t>f summarizes and production will</w:t>
      </w:r>
      <w:r>
        <w:rPr>
          <w:noProof/>
          <w:lang w:eastAsia="en-GB"/>
        </w:rPr>
        <w:t xml:space="preserve"> be made during Year 4.  Subject to confirmation of the proposal on timing and strategy by the Implementing Agency (UNEP) and the GA, it </w:t>
      </w:r>
      <w:r w:rsidR="00917BA9">
        <w:rPr>
          <w:noProof/>
          <w:lang w:eastAsia="en-GB"/>
        </w:rPr>
        <w:t>is</w:t>
      </w:r>
      <w:r>
        <w:rPr>
          <w:noProof/>
          <w:lang w:eastAsia="en-GB"/>
        </w:rPr>
        <w:t xml:space="preserve"> proposed to launch the product as part of the final INMS conference at the end of Year 4.  </w:t>
      </w:r>
    </w:p>
    <w:p w14:paraId="269C5756" w14:textId="35222BD4" w:rsidR="00BB495F" w:rsidRDefault="00BB495F" w:rsidP="00B9027C">
      <w:pPr>
        <w:rPr>
          <w:noProof/>
          <w:lang w:eastAsia="en-GB"/>
        </w:rPr>
      </w:pPr>
      <w:r>
        <w:rPr>
          <w:noProof/>
          <w:lang w:eastAsia="en-GB"/>
        </w:rPr>
        <w:t xml:space="preserve">This Activity </w:t>
      </w:r>
      <w:r w:rsidR="00DF489A">
        <w:rPr>
          <w:noProof/>
          <w:lang w:eastAsia="en-GB"/>
        </w:rPr>
        <w:t xml:space="preserve">will </w:t>
      </w:r>
      <w:r>
        <w:rPr>
          <w:noProof/>
          <w:lang w:eastAsia="en-GB"/>
        </w:rPr>
        <w:t xml:space="preserve">draw </w:t>
      </w:r>
      <w:r w:rsidR="009B4FD1">
        <w:rPr>
          <w:noProof/>
          <w:lang w:eastAsia="en-GB"/>
        </w:rPr>
        <w:t>o</w:t>
      </w:r>
      <w:r>
        <w:rPr>
          <w:noProof/>
          <w:lang w:eastAsia="en-GB"/>
        </w:rPr>
        <w:t xml:space="preserve">n </w:t>
      </w:r>
      <w:r w:rsidRPr="009B4FD1">
        <w:rPr>
          <w:b/>
          <w:noProof/>
          <w:lang w:eastAsia="en-GB"/>
        </w:rPr>
        <w:t xml:space="preserve">contributions from across the </w:t>
      </w:r>
      <w:r w:rsidR="00DF489A" w:rsidRPr="009B4FD1">
        <w:rPr>
          <w:b/>
          <w:noProof/>
          <w:lang w:eastAsia="en-GB"/>
        </w:rPr>
        <w:t>INMS partnership</w:t>
      </w:r>
      <w:r w:rsidR="00DF489A">
        <w:rPr>
          <w:noProof/>
          <w:lang w:eastAsia="en-GB"/>
        </w:rPr>
        <w:t>, including all four components. Component and Activity leaders will play a key role in supporting the process, with specific chapters anticipated on the different INMS Regional Demonstrations. In addition to core writing by science experts, contributions and advi</w:t>
      </w:r>
      <w:r w:rsidR="00886B26">
        <w:rPr>
          <w:noProof/>
          <w:lang w:eastAsia="en-GB"/>
        </w:rPr>
        <w:t>c</w:t>
      </w:r>
      <w:r w:rsidR="00DF489A">
        <w:rPr>
          <w:noProof/>
          <w:lang w:eastAsia="en-GB"/>
        </w:rPr>
        <w:t>e from S</w:t>
      </w:r>
      <w:r w:rsidR="00917BA9">
        <w:rPr>
          <w:noProof/>
          <w:lang w:eastAsia="en-GB"/>
        </w:rPr>
        <w:t>PAG members will be encouraged.</w:t>
      </w:r>
    </w:p>
    <w:p w14:paraId="6224534B" w14:textId="77777777" w:rsidR="00BB495F" w:rsidRDefault="00BB495F" w:rsidP="00B9027C">
      <w:pPr>
        <w:rPr>
          <w:noProof/>
          <w:lang w:eastAsia="en-GB"/>
        </w:rPr>
      </w:pPr>
    </w:p>
    <w:p w14:paraId="453A05E1" w14:textId="77777777" w:rsidR="00B861EE" w:rsidRDefault="00B861EE" w:rsidP="007D7A4E">
      <w:r>
        <w:rPr>
          <w:noProof/>
          <w:lang w:eastAsia="en-GB"/>
        </w:rPr>
        <w:lastRenderedPageBreak/>
        <w:drawing>
          <wp:inline distT="0" distB="0" distL="0" distR="0" wp14:anchorId="30717785" wp14:editId="1DDD1E96">
            <wp:extent cx="5767070" cy="40088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vity 2.2.png"/>
                    <pic:cNvPicPr/>
                  </pic:nvPicPr>
                  <pic:blipFill rotWithShape="1">
                    <a:blip r:embed="rId11" cstate="print">
                      <a:extLst>
                        <a:ext uri="{28A0092B-C50C-407E-A947-70E740481C1C}">
                          <a14:useLocalDpi xmlns:a14="http://schemas.microsoft.com/office/drawing/2010/main" val="0"/>
                        </a:ext>
                      </a:extLst>
                    </a:blip>
                    <a:srcRect t="7351"/>
                    <a:stretch/>
                  </pic:blipFill>
                  <pic:spPr bwMode="auto">
                    <a:xfrm>
                      <a:off x="0" y="0"/>
                      <a:ext cx="5767070" cy="4008838"/>
                    </a:xfrm>
                    <a:prstGeom prst="rect">
                      <a:avLst/>
                    </a:prstGeom>
                    <a:ln>
                      <a:noFill/>
                    </a:ln>
                    <a:extLst>
                      <a:ext uri="{53640926-AAD7-44D8-BBD7-CCE9431645EC}">
                        <a14:shadowObscured xmlns:a14="http://schemas.microsoft.com/office/drawing/2010/main"/>
                      </a:ext>
                    </a:extLst>
                  </pic:spPr>
                </pic:pic>
              </a:graphicData>
            </a:graphic>
          </wp:inline>
        </w:drawing>
      </w:r>
    </w:p>
    <w:p w14:paraId="51C8700F" w14:textId="09F4A169" w:rsidR="00665EEE" w:rsidRDefault="00665EEE" w:rsidP="00665EEE">
      <w:pPr>
        <w:pStyle w:val="Caption"/>
        <w:rPr>
          <w:noProof/>
          <w:lang w:eastAsia="en-GB"/>
        </w:rPr>
      </w:pPr>
      <w:r w:rsidRPr="00B61BF6">
        <w:rPr>
          <w:b/>
          <w:noProof/>
          <w:lang w:eastAsia="en-GB"/>
        </w:rPr>
        <w:t>Figure A1</w:t>
      </w:r>
      <w:r>
        <w:rPr>
          <w:b/>
          <w:noProof/>
          <w:lang w:eastAsia="en-GB"/>
        </w:rPr>
        <w:t>6.2</w:t>
      </w:r>
      <w:r w:rsidRPr="00B61BF6">
        <w:rPr>
          <w:b/>
          <w:noProof/>
          <w:lang w:eastAsia="en-GB"/>
        </w:rPr>
        <w:t>:</w:t>
      </w:r>
      <w:r>
        <w:rPr>
          <w:noProof/>
          <w:lang w:eastAsia="en-GB"/>
        </w:rPr>
        <w:t xml:space="preserve"> Summary of Tasks and Task Outputs needed to reach the overall Output in relation to p</w:t>
      </w:r>
      <w:r w:rsidRPr="00665EEE">
        <w:rPr>
          <w:noProof/>
          <w:lang w:eastAsia="en-GB"/>
        </w:rPr>
        <w:t xml:space="preserve">reparation of global assessment of N fluxes, pathways and impacts </w:t>
      </w:r>
      <w:r>
        <w:rPr>
          <w:noProof/>
          <w:lang w:eastAsia="en-GB"/>
        </w:rPr>
        <w:t xml:space="preserve">(Activity 2.2; Output 2.2). </w:t>
      </w:r>
    </w:p>
    <w:p w14:paraId="51A7245B" w14:textId="77777777" w:rsidR="00B861EE" w:rsidRDefault="00B861EE" w:rsidP="007D7A4E">
      <w:pPr>
        <w:rPr>
          <w:b/>
        </w:rPr>
      </w:pPr>
    </w:p>
    <w:p w14:paraId="79FA5B5D" w14:textId="6A97EC9D" w:rsidR="00DB7B51" w:rsidRDefault="00DB7B51" w:rsidP="00DB7B51">
      <w:r>
        <w:t xml:space="preserve">A number of </w:t>
      </w:r>
      <w:r w:rsidRPr="00072447">
        <w:t>INMS partners</w:t>
      </w:r>
      <w:r>
        <w:t xml:space="preserve"> have proposed </w:t>
      </w:r>
      <w:r w:rsidR="009B4FD1">
        <w:t xml:space="preserve">specifically </w:t>
      </w:r>
      <w:r>
        <w:t xml:space="preserve">to contribute to this activity, </w:t>
      </w:r>
      <w:r w:rsidR="009B4FD1">
        <w:t>including</w:t>
      </w:r>
      <w:r>
        <w:t>:</w:t>
      </w:r>
      <w:r w:rsidR="009B4FD1">
        <w:t xml:space="preserve"> NERC (UK),</w:t>
      </w:r>
      <w:r>
        <w:t xml:space="preserve"> ALTERRA (The Netherlands), ILRI (Kenya), UGENT (Belgium), IIASA (Austria), FAO AGA (International), INRA (France), RRes (UK), PIK (Germany), PBL (The Netherlands), JRC (EC), ECN (The Netherlands) and VU (The Netherlands)</w:t>
      </w:r>
      <w:r w:rsidR="009B4FD1">
        <w:t xml:space="preserve">. </w:t>
      </w:r>
    </w:p>
    <w:p w14:paraId="6CB1BF07" w14:textId="77777777" w:rsidR="00DB7B51" w:rsidRDefault="00DB7B51" w:rsidP="007D7A4E">
      <w:pPr>
        <w:rPr>
          <w:b/>
        </w:rPr>
      </w:pPr>
    </w:p>
    <w:p w14:paraId="6C073CBB" w14:textId="77777777" w:rsidR="00DB7B51" w:rsidRPr="00665EEE" w:rsidRDefault="00DB7B51" w:rsidP="007D7A4E">
      <w:pPr>
        <w:rPr>
          <w:b/>
        </w:rPr>
      </w:pPr>
    </w:p>
    <w:p w14:paraId="3A8128BD" w14:textId="77777777" w:rsidR="00665EEE" w:rsidRPr="00B7395B" w:rsidRDefault="00665EEE" w:rsidP="00665EEE">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2</w:t>
      </w:r>
      <w:r w:rsidRPr="00B7395B">
        <w:rPr>
          <w:noProof/>
        </w:rPr>
        <w:t>.</w:t>
      </w:r>
      <w:r>
        <w:rPr>
          <w:noProof/>
        </w:rPr>
        <w:t>1</w:t>
      </w:r>
      <w:r w:rsidRPr="00B7395B">
        <w:rPr>
          <w:noProof/>
        </w:rPr>
        <w:t xml:space="preserve">:  </w:t>
      </w:r>
      <w:r w:rsidRPr="00BB495F">
        <w:rPr>
          <w:noProof/>
        </w:rPr>
        <w:t>Preparation of scope &amp; structure of consolidated global assessment</w:t>
      </w:r>
    </w:p>
    <w:p w14:paraId="0804A4D8" w14:textId="77777777" w:rsidR="00665EEE" w:rsidRPr="00BB495F" w:rsidRDefault="00665EEE" w:rsidP="00665EEE">
      <w:pPr>
        <w:ind w:firstLine="720"/>
        <w:rPr>
          <w:b/>
          <w:i/>
          <w:noProof/>
        </w:rPr>
      </w:pPr>
      <w:r w:rsidRPr="00704FBC">
        <w:rPr>
          <w:b/>
          <w:i/>
          <w:noProof/>
        </w:rPr>
        <w:t xml:space="preserve">Task Output </w:t>
      </w:r>
      <w:r>
        <w:rPr>
          <w:b/>
          <w:i/>
          <w:noProof/>
        </w:rPr>
        <w:t>2</w:t>
      </w:r>
      <w:r w:rsidRPr="00704FBC">
        <w:rPr>
          <w:b/>
          <w:i/>
          <w:noProof/>
        </w:rPr>
        <w:t>.</w:t>
      </w:r>
      <w:r>
        <w:rPr>
          <w:b/>
          <w:i/>
          <w:noProof/>
        </w:rPr>
        <w:t>2</w:t>
      </w:r>
      <w:r w:rsidRPr="00704FBC">
        <w:rPr>
          <w:b/>
          <w:i/>
          <w:noProof/>
        </w:rPr>
        <w:t>.</w:t>
      </w:r>
      <w:r>
        <w:rPr>
          <w:b/>
          <w:i/>
          <w:noProof/>
        </w:rPr>
        <w:t>1</w:t>
      </w:r>
      <w:r w:rsidRPr="00704FBC">
        <w:rPr>
          <w:b/>
          <w:i/>
          <w:noProof/>
        </w:rPr>
        <w:t xml:space="preserve">: </w:t>
      </w:r>
      <w:r w:rsidRPr="00BB495F">
        <w:rPr>
          <w:b/>
          <w:i/>
          <w:noProof/>
        </w:rPr>
        <w:t>Scope &amp; outline structure of global assessment of N fluxes, pathways &amp; impacts agreed</w:t>
      </w:r>
      <w:r>
        <w:rPr>
          <w:b/>
          <w:i/>
          <w:noProof/>
        </w:rPr>
        <w:t>.</w:t>
      </w:r>
    </w:p>
    <w:p w14:paraId="35349F34" w14:textId="338B102C" w:rsidR="00665EEE" w:rsidRPr="00FA74DC" w:rsidRDefault="00962BB4" w:rsidP="00665EEE">
      <w:pPr>
        <w:pStyle w:val="Leaders"/>
      </w:pPr>
      <w:r>
        <w:rPr>
          <w:lang w:eastAsia="en-GB"/>
        </w:rPr>
        <w:t>Task</w:t>
      </w:r>
      <w:r w:rsidR="00665EEE" w:rsidRPr="00B7395B">
        <w:rPr>
          <w:lang w:eastAsia="en-GB"/>
        </w:rPr>
        <w:t xml:space="preserve"> Co-Leads:  </w:t>
      </w:r>
      <w:r w:rsidR="00665EEE" w:rsidRPr="00B7395B">
        <w:t>INI (</w:t>
      </w:r>
      <w:r w:rsidR="00665EEE">
        <w:t>Sutton and Howard, PCU, NERC).</w:t>
      </w:r>
    </w:p>
    <w:p w14:paraId="37333F53" w14:textId="04C1BD46" w:rsidR="00DD5993" w:rsidRDefault="00110323" w:rsidP="00665EEE">
      <w:pPr>
        <w:rPr>
          <w:noProof/>
          <w:lang w:eastAsia="en-GB"/>
        </w:rPr>
      </w:pPr>
      <w:r>
        <w:rPr>
          <w:noProof/>
          <w:lang w:eastAsia="en-GB"/>
        </w:rPr>
        <w:t>During year 1 of the project, a first outline concept of the global assessment will be prepared by the INMS Project Coordination Unit, which will aim to achieve the following elements:  a) Addresses the core challenge of why a cross-cutting approach to the ni</w:t>
      </w:r>
      <w:r w:rsidR="00444FED">
        <w:rPr>
          <w:noProof/>
          <w:lang w:eastAsia="en-GB"/>
        </w:rPr>
        <w:t>t</w:t>
      </w:r>
      <w:r>
        <w:rPr>
          <w:noProof/>
          <w:lang w:eastAsia="en-GB"/>
        </w:rPr>
        <w:t xml:space="preserve">rogen cycle is relevant, clearly summarizes the baseline and explains the </w:t>
      </w:r>
      <w:r w:rsidR="00DD5993">
        <w:rPr>
          <w:noProof/>
          <w:lang w:eastAsia="en-GB"/>
        </w:rPr>
        <w:t xml:space="preserve">overarching framing of the sections that follow, b) addresses the nature of the key sources of nitrogen and their drivers, c) addresses the pathways of nitrogen and its interconversion between different N forms at different temporal and spatial scales and how this has relevance for consequences, d) addresses the major impacts of human alteration of the nitrogen cycle, including the multiple benefits and threats, e) addresses current and emerging options for </w:t>
      </w:r>
      <w:r w:rsidR="00DD5993">
        <w:rPr>
          <w:noProof/>
          <w:lang w:eastAsia="en-GB"/>
        </w:rPr>
        <w:lastRenderedPageBreak/>
        <w:t xml:space="preserve">improved management of the nitrogen cycle, including examination of future storylines and scenarios, and possible vehicles for change (through communication, policy,  practice etc), f) illustrates these challenges and possible solutions, including success stories, by reference to a series of major case studies for different world regions, drawing on the INMS regional demonstrations, g) synthesizes the key drivers, needs, barriers-to-change and options for overcoming them.  These elements might contribute major parts of the final product, which would then be used to prepare technical and executive summaries for wider distribution.  </w:t>
      </w:r>
    </w:p>
    <w:p w14:paraId="4248E40F" w14:textId="77777777" w:rsidR="00073ACB" w:rsidRDefault="00DD5993" w:rsidP="00665EEE">
      <w:pPr>
        <w:rPr>
          <w:noProof/>
          <w:lang w:eastAsia="en-GB"/>
        </w:rPr>
      </w:pPr>
      <w:r>
        <w:rPr>
          <w:noProof/>
          <w:lang w:eastAsia="en-GB"/>
        </w:rPr>
        <w:t>The draft scope a</w:t>
      </w:r>
      <w:r w:rsidR="00CB6F78">
        <w:rPr>
          <w:noProof/>
          <w:lang w:eastAsia="en-GB"/>
        </w:rPr>
        <w:t>nd outline will be reviewed initially by the PMB, for sharing with the GA and SPAG as a basis for providing a revised version to be agreed by the GA. At the same time, material will be provided summarizing the process for the next steps to be agreed by the GA.</w:t>
      </w:r>
    </w:p>
    <w:p w14:paraId="3F7B47B9" w14:textId="4576E0E3" w:rsidR="00665EEE" w:rsidRDefault="00073ACB" w:rsidP="00665EEE">
      <w:pPr>
        <w:rPr>
          <w:noProof/>
          <w:lang w:eastAsia="en-GB"/>
        </w:rPr>
      </w:pPr>
      <w:r>
        <w:rPr>
          <w:noProof/>
          <w:lang w:eastAsia="en-GB"/>
        </w:rPr>
        <w:t>It is expected that there will be a close link between Component Leaders and editors of the</w:t>
      </w:r>
      <w:r w:rsidR="00CB6F78">
        <w:rPr>
          <w:noProof/>
          <w:lang w:eastAsia="en-GB"/>
        </w:rPr>
        <w:t xml:space="preserve"> </w:t>
      </w:r>
      <w:r>
        <w:rPr>
          <w:noProof/>
          <w:lang w:eastAsia="en-GB"/>
        </w:rPr>
        <w:t>consolidated global assessment.</w:t>
      </w:r>
      <w:r w:rsidR="00183A5C">
        <w:rPr>
          <w:noProof/>
          <w:lang w:eastAsia="en-GB"/>
        </w:rPr>
        <w:t xml:space="preserve"> </w:t>
      </w:r>
      <w:r w:rsidR="00183A5C">
        <w:t xml:space="preserve">In the process of undertaking this activity, it is anticipated that there may be important feedback to other activities, especially A2.1, A2.3 and A2.4. For example, this may include identification of critical factors, caveats and emerging trends. </w:t>
      </w:r>
    </w:p>
    <w:p w14:paraId="25FB9980" w14:textId="222375C3" w:rsidR="00665EEE" w:rsidRPr="00B7395B" w:rsidRDefault="00665EEE" w:rsidP="00665EEE">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2</w:t>
      </w:r>
      <w:r w:rsidRPr="00B7395B">
        <w:rPr>
          <w:noProof/>
        </w:rPr>
        <w:t>.</w:t>
      </w:r>
      <w:r>
        <w:rPr>
          <w:noProof/>
        </w:rPr>
        <w:t>2</w:t>
      </w:r>
      <w:r w:rsidRPr="00B7395B">
        <w:rPr>
          <w:noProof/>
        </w:rPr>
        <w:t xml:space="preserve">:  </w:t>
      </w:r>
      <w:r w:rsidRPr="00665EEE">
        <w:rPr>
          <w:noProof/>
        </w:rPr>
        <w:t>Commissioning of author teams and preparation of the consolidated overview</w:t>
      </w:r>
    </w:p>
    <w:p w14:paraId="403C9ACB" w14:textId="4D531662" w:rsidR="00665EEE" w:rsidRPr="00BB495F" w:rsidRDefault="00665EEE" w:rsidP="00665EEE">
      <w:pPr>
        <w:ind w:firstLine="720"/>
        <w:rPr>
          <w:b/>
          <w:i/>
          <w:noProof/>
        </w:rPr>
      </w:pPr>
      <w:r w:rsidRPr="00704FBC">
        <w:rPr>
          <w:b/>
          <w:i/>
          <w:noProof/>
        </w:rPr>
        <w:t xml:space="preserve">Task Output </w:t>
      </w:r>
      <w:r>
        <w:rPr>
          <w:b/>
          <w:i/>
          <w:noProof/>
        </w:rPr>
        <w:t>2</w:t>
      </w:r>
      <w:r w:rsidRPr="00704FBC">
        <w:rPr>
          <w:b/>
          <w:i/>
          <w:noProof/>
        </w:rPr>
        <w:t>.</w:t>
      </w:r>
      <w:r>
        <w:rPr>
          <w:b/>
          <w:i/>
          <w:noProof/>
        </w:rPr>
        <w:t>2</w:t>
      </w:r>
      <w:r w:rsidRPr="00704FBC">
        <w:rPr>
          <w:b/>
          <w:i/>
          <w:noProof/>
        </w:rPr>
        <w:t>.</w:t>
      </w:r>
      <w:r>
        <w:rPr>
          <w:b/>
          <w:i/>
          <w:noProof/>
        </w:rPr>
        <w:t>2</w:t>
      </w:r>
      <w:r w:rsidRPr="00704FBC">
        <w:rPr>
          <w:b/>
          <w:i/>
          <w:noProof/>
        </w:rPr>
        <w:t xml:space="preserve">: </w:t>
      </w:r>
      <w:r w:rsidRPr="00665EEE">
        <w:rPr>
          <w:b/>
          <w:i/>
          <w:noProof/>
        </w:rPr>
        <w:t>Authors appointed and preparation of chapter drafts</w:t>
      </w:r>
    </w:p>
    <w:p w14:paraId="700B28AC" w14:textId="09B0454A" w:rsidR="00665EEE" w:rsidRPr="00FA74DC" w:rsidRDefault="00962BB4" w:rsidP="00665EEE">
      <w:pPr>
        <w:pStyle w:val="Leaders"/>
      </w:pPr>
      <w:r>
        <w:rPr>
          <w:lang w:eastAsia="en-GB"/>
        </w:rPr>
        <w:t xml:space="preserve">Task </w:t>
      </w:r>
      <w:r w:rsidR="00665EEE" w:rsidRPr="00B7395B">
        <w:rPr>
          <w:lang w:eastAsia="en-GB"/>
        </w:rPr>
        <w:t xml:space="preserve">Co-Leads:  </w:t>
      </w:r>
      <w:r w:rsidR="00665EEE" w:rsidRPr="00B7395B">
        <w:t>INI (</w:t>
      </w:r>
      <w:r w:rsidR="00665EEE">
        <w:t>Sutton and Howard, PCU, NERC).</w:t>
      </w:r>
    </w:p>
    <w:p w14:paraId="772440E6" w14:textId="4AA84388" w:rsidR="00665EEE" w:rsidRDefault="00CB6F78" w:rsidP="00665EEE">
      <w:pPr>
        <w:rPr>
          <w:noProof/>
          <w:lang w:eastAsia="en-GB"/>
        </w:rPr>
      </w:pPr>
      <w:r>
        <w:rPr>
          <w:noProof/>
          <w:lang w:eastAsia="en-GB"/>
        </w:rPr>
        <w:t>Based on agreement of the overall approach and process by the GA, this Task will focus on preparing the coordination team for the consolidated overview, including identification of lead and contributing authors to different chapters.  The PCU will particularly draw on advi</w:t>
      </w:r>
      <w:r w:rsidR="0075032F">
        <w:rPr>
          <w:noProof/>
          <w:lang w:eastAsia="en-GB"/>
        </w:rPr>
        <w:t>c</w:t>
      </w:r>
      <w:r>
        <w:rPr>
          <w:noProof/>
          <w:lang w:eastAsia="en-GB"/>
        </w:rPr>
        <w:t>e and inputs of the Component and Activity leaders and provide a means for all INMS partners to offer their input.  Proposals will be tested with support from the SPAG, as a basis for agreement by the GA. This will then allow the PCU to commission author teams, setting out a) the sc</w:t>
      </w:r>
      <w:r w:rsidR="005F046B">
        <w:rPr>
          <w:noProof/>
          <w:lang w:eastAsia="en-GB"/>
        </w:rPr>
        <w:t xml:space="preserve">ope and objectives of each commissioned section, b) the necessary elements to be consdered, including </w:t>
      </w:r>
      <w:r w:rsidR="005F046B" w:rsidRPr="005F046B">
        <w:rPr>
          <w:i/>
          <w:noProof/>
          <w:lang w:eastAsia="en-GB"/>
        </w:rPr>
        <w:t>problematique</w:t>
      </w:r>
      <w:r w:rsidR="005F046B">
        <w:rPr>
          <w:noProof/>
          <w:lang w:eastAsia="en-GB"/>
        </w:rPr>
        <w:t xml:space="preserve"> and kinds of information to be included, c) issues of common style and format, d) timetable and review process.</w:t>
      </w:r>
      <w:r w:rsidR="000A2D3F">
        <w:rPr>
          <w:noProof/>
          <w:lang w:eastAsia="en-GB"/>
        </w:rPr>
        <w:t xml:space="preserve">  As far as possible, authors will be requested to indicate degree of confidence/uncertainty in their conclusions and key messages.</w:t>
      </w:r>
    </w:p>
    <w:p w14:paraId="14B73A03" w14:textId="7A7FFAC6" w:rsidR="00405741" w:rsidRDefault="00405741" w:rsidP="00665EEE">
      <w:pPr>
        <w:rPr>
          <w:noProof/>
          <w:lang w:eastAsia="en-GB"/>
        </w:rPr>
      </w:pPr>
      <w:r>
        <w:rPr>
          <w:noProof/>
          <w:lang w:eastAsia="en-GB"/>
        </w:rPr>
        <w:t xml:space="preserve">It is expected that the actual process of preparing chapters and sections of the consolidated global assessment will take place as part of the work of the different Activities and Tasks of INMS, which </w:t>
      </w:r>
      <w:r w:rsidR="0075032F">
        <w:rPr>
          <w:noProof/>
          <w:lang w:eastAsia="en-GB"/>
        </w:rPr>
        <w:t xml:space="preserve">is </w:t>
      </w:r>
      <w:r>
        <w:rPr>
          <w:noProof/>
          <w:lang w:eastAsia="en-GB"/>
        </w:rPr>
        <w:t xml:space="preserve">also serving to focus on ensuring that key higher-level outcomes are achieved. </w:t>
      </w:r>
    </w:p>
    <w:p w14:paraId="31DBE97E" w14:textId="5336407A" w:rsidR="00665EEE" w:rsidRPr="00B7395B" w:rsidRDefault="00665EEE" w:rsidP="00665EEE">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2</w:t>
      </w:r>
      <w:r w:rsidRPr="00B7395B">
        <w:rPr>
          <w:noProof/>
        </w:rPr>
        <w:t>.</w:t>
      </w:r>
      <w:r>
        <w:rPr>
          <w:noProof/>
        </w:rPr>
        <w:t>3</w:t>
      </w:r>
      <w:r w:rsidRPr="00B7395B">
        <w:rPr>
          <w:noProof/>
        </w:rPr>
        <w:t xml:space="preserve">:  </w:t>
      </w:r>
      <w:r w:rsidRPr="00665EEE">
        <w:rPr>
          <w:noProof/>
        </w:rPr>
        <w:t>Peer review of chapters in the global assessment &amp; revision</w:t>
      </w:r>
    </w:p>
    <w:p w14:paraId="5C994A95" w14:textId="64AEE618" w:rsidR="00665EEE" w:rsidRPr="00BB495F" w:rsidRDefault="00665EEE" w:rsidP="00665EEE">
      <w:pPr>
        <w:ind w:firstLine="720"/>
        <w:rPr>
          <w:b/>
          <w:i/>
          <w:noProof/>
        </w:rPr>
      </w:pPr>
      <w:r w:rsidRPr="00704FBC">
        <w:rPr>
          <w:b/>
          <w:i/>
          <w:noProof/>
        </w:rPr>
        <w:t xml:space="preserve">Task Output </w:t>
      </w:r>
      <w:r>
        <w:rPr>
          <w:b/>
          <w:i/>
          <w:noProof/>
        </w:rPr>
        <w:t>2</w:t>
      </w:r>
      <w:r w:rsidRPr="00704FBC">
        <w:rPr>
          <w:b/>
          <w:i/>
          <w:noProof/>
        </w:rPr>
        <w:t>.</w:t>
      </w:r>
      <w:r>
        <w:rPr>
          <w:b/>
          <w:i/>
          <w:noProof/>
        </w:rPr>
        <w:t>2</w:t>
      </w:r>
      <w:r w:rsidRPr="00704FBC">
        <w:rPr>
          <w:b/>
          <w:i/>
          <w:noProof/>
        </w:rPr>
        <w:t>.</w:t>
      </w:r>
      <w:r>
        <w:rPr>
          <w:b/>
          <w:i/>
          <w:noProof/>
        </w:rPr>
        <w:t>3</w:t>
      </w:r>
      <w:r w:rsidRPr="00704FBC">
        <w:rPr>
          <w:b/>
          <w:i/>
          <w:noProof/>
        </w:rPr>
        <w:t xml:space="preserve">: </w:t>
      </w:r>
      <w:r w:rsidRPr="00665EEE">
        <w:rPr>
          <w:b/>
          <w:i/>
          <w:noProof/>
        </w:rPr>
        <w:t>Reviews provided to authors, with documents revised</w:t>
      </w:r>
    </w:p>
    <w:p w14:paraId="7FCF1EBA" w14:textId="3484A383" w:rsidR="00665EEE" w:rsidRPr="00FA74DC" w:rsidRDefault="00962BB4" w:rsidP="00665EEE">
      <w:pPr>
        <w:pStyle w:val="Leaders"/>
      </w:pPr>
      <w:r>
        <w:rPr>
          <w:lang w:eastAsia="en-GB"/>
        </w:rPr>
        <w:t>Task</w:t>
      </w:r>
      <w:r w:rsidR="00665EEE" w:rsidRPr="00B7395B">
        <w:rPr>
          <w:lang w:eastAsia="en-GB"/>
        </w:rPr>
        <w:t xml:space="preserve"> Co-Leads:  </w:t>
      </w:r>
      <w:r w:rsidR="00665EEE" w:rsidRPr="00B7395B">
        <w:t>INI (</w:t>
      </w:r>
      <w:r w:rsidR="00665EEE">
        <w:t>Sutton and Howard, PCU, NERC).</w:t>
      </w:r>
    </w:p>
    <w:p w14:paraId="47DAB54A" w14:textId="4CE62D69" w:rsidR="00665EEE" w:rsidRDefault="002E6F52" w:rsidP="00665EEE">
      <w:pPr>
        <w:rPr>
          <w:noProof/>
          <w:lang w:eastAsia="en-GB"/>
        </w:rPr>
      </w:pPr>
      <w:r>
        <w:rPr>
          <w:noProof/>
          <w:lang w:eastAsia="en-GB"/>
        </w:rPr>
        <w:t xml:space="preserve">This task will manage the peer review process of the draft chapters, ensuring that the material meets a leading international scientific standard. Reviewers may be selected from within as well as outside of INMS and depending on the nature of a chapter, may include both scientific review and expert review from policy and practice stakeholders. During Task 2.2.1, </w:t>
      </w:r>
      <w:r w:rsidR="00073ACB">
        <w:rPr>
          <w:noProof/>
          <w:lang w:eastAsia="en-GB"/>
        </w:rPr>
        <w:t xml:space="preserve">the process to invite authors will also invite offers for chapter reviewers. The list of possible reviewers will be extended to include other international experts from beyond the INMS community to ensure full independence of the review and a high standard.  Peer reviewed chapters will be returned by the PCU to lead authors for revision under an agreed timescale. Authors will be required to amend chapter drafts and provide a summary of the changes they have made, so that the editors can make a decision whether further </w:t>
      </w:r>
      <w:r w:rsidR="00073ACB">
        <w:rPr>
          <w:noProof/>
          <w:lang w:eastAsia="en-GB"/>
        </w:rPr>
        <w:lastRenderedPageBreak/>
        <w:t xml:space="preserve">review and revision is necessary. Each chapter will include a short summary of key messages, which will be checked for consistency with the evidence provided in the chapter.  This </w:t>
      </w:r>
      <w:r w:rsidR="00E97591">
        <w:rPr>
          <w:noProof/>
          <w:lang w:eastAsia="en-GB"/>
        </w:rPr>
        <w:t>will allow authors to prepare revised versions for submission to the PCU.</w:t>
      </w:r>
      <w:r w:rsidR="00073ACB">
        <w:rPr>
          <w:noProof/>
          <w:lang w:eastAsia="en-GB"/>
        </w:rPr>
        <w:t xml:space="preserve"> </w:t>
      </w:r>
    </w:p>
    <w:p w14:paraId="0AD945C1" w14:textId="34339086" w:rsidR="00665EEE" w:rsidRPr="00B7395B" w:rsidRDefault="00665EEE" w:rsidP="00665EEE">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2</w:t>
      </w:r>
      <w:r w:rsidRPr="00B7395B">
        <w:rPr>
          <w:noProof/>
        </w:rPr>
        <w:t>.</w:t>
      </w:r>
      <w:r>
        <w:rPr>
          <w:noProof/>
        </w:rPr>
        <w:t>4</w:t>
      </w:r>
      <w:r w:rsidRPr="00B7395B">
        <w:rPr>
          <w:noProof/>
        </w:rPr>
        <w:t xml:space="preserve">:  </w:t>
      </w:r>
      <w:r w:rsidRPr="00665EEE">
        <w:rPr>
          <w:noProof/>
        </w:rPr>
        <w:t>Preparation of summary doc</w:t>
      </w:r>
      <w:r w:rsidR="0075032F">
        <w:rPr>
          <w:noProof/>
        </w:rPr>
        <w:t>ument</w:t>
      </w:r>
      <w:r w:rsidRPr="00665EEE">
        <w:rPr>
          <w:noProof/>
        </w:rPr>
        <w:t>s &amp; review with workshop</w:t>
      </w:r>
    </w:p>
    <w:p w14:paraId="4C55AA72" w14:textId="328246FC" w:rsidR="00665EEE" w:rsidRPr="00BB495F" w:rsidRDefault="00665EEE" w:rsidP="00665EEE">
      <w:pPr>
        <w:ind w:firstLine="720"/>
        <w:rPr>
          <w:b/>
          <w:i/>
          <w:noProof/>
        </w:rPr>
      </w:pPr>
      <w:r w:rsidRPr="00704FBC">
        <w:rPr>
          <w:b/>
          <w:i/>
          <w:noProof/>
        </w:rPr>
        <w:t xml:space="preserve">Task Output </w:t>
      </w:r>
      <w:r>
        <w:rPr>
          <w:b/>
          <w:i/>
          <w:noProof/>
        </w:rPr>
        <w:t>2</w:t>
      </w:r>
      <w:r w:rsidRPr="00704FBC">
        <w:rPr>
          <w:b/>
          <w:i/>
          <w:noProof/>
        </w:rPr>
        <w:t>.</w:t>
      </w:r>
      <w:r>
        <w:rPr>
          <w:b/>
          <w:i/>
          <w:noProof/>
        </w:rPr>
        <w:t>2</w:t>
      </w:r>
      <w:r w:rsidRPr="00704FBC">
        <w:rPr>
          <w:b/>
          <w:i/>
          <w:noProof/>
        </w:rPr>
        <w:t>.</w:t>
      </w:r>
      <w:r>
        <w:rPr>
          <w:b/>
          <w:i/>
          <w:noProof/>
        </w:rPr>
        <w:t>4</w:t>
      </w:r>
      <w:r w:rsidRPr="00704FBC">
        <w:rPr>
          <w:b/>
          <w:i/>
          <w:noProof/>
        </w:rPr>
        <w:t xml:space="preserve">: </w:t>
      </w:r>
      <w:r w:rsidRPr="00665EEE">
        <w:rPr>
          <w:b/>
          <w:i/>
          <w:noProof/>
        </w:rPr>
        <w:t>Documents reviewed by GA, SPAG &amp; other stakeholders</w:t>
      </w:r>
    </w:p>
    <w:p w14:paraId="0D78AD23" w14:textId="3AA78D98" w:rsidR="00665EEE" w:rsidRPr="00FA74DC" w:rsidRDefault="00962BB4" w:rsidP="00665EEE">
      <w:pPr>
        <w:pStyle w:val="Leaders"/>
      </w:pPr>
      <w:r>
        <w:rPr>
          <w:lang w:eastAsia="en-GB"/>
        </w:rPr>
        <w:t xml:space="preserve">Task </w:t>
      </w:r>
      <w:r w:rsidR="00665EEE" w:rsidRPr="00B7395B">
        <w:rPr>
          <w:lang w:eastAsia="en-GB"/>
        </w:rPr>
        <w:t xml:space="preserve">Co-Leads:  </w:t>
      </w:r>
      <w:r w:rsidR="00665EEE" w:rsidRPr="00B7395B">
        <w:t>INI (</w:t>
      </w:r>
      <w:r w:rsidR="00665EEE">
        <w:t>Sutton and Howard, PCU, NERC).</w:t>
      </w:r>
    </w:p>
    <w:p w14:paraId="658FD58F" w14:textId="77777777" w:rsidR="00E97591" w:rsidRDefault="00E97591" w:rsidP="00665EEE">
      <w:pPr>
        <w:rPr>
          <w:noProof/>
          <w:lang w:eastAsia="en-GB"/>
        </w:rPr>
      </w:pPr>
      <w:r>
        <w:rPr>
          <w:noProof/>
          <w:lang w:eastAsia="en-GB"/>
        </w:rPr>
        <w:t>The finalized chapters will be used to prepare summary documents of the overall consolidated assessment, with input from the GA, SPAG and other stakeholders.  It is anticipated to include two forms of summary, one focused more at policy makers, and one focused more at a technical and scientific audience. However, this proposal will be reviewed before a final decision is taken.  The draft summary(s) will be prepared by the PCU with the support of other editors and experts.  The final summary will then be opened for review by the GA, SPAG and stakeholders, which will be used to finalize the document.</w:t>
      </w:r>
    </w:p>
    <w:p w14:paraId="6996C365" w14:textId="3532B3A5" w:rsidR="00665EEE" w:rsidRDefault="00E97591" w:rsidP="00665EEE">
      <w:pPr>
        <w:rPr>
          <w:noProof/>
          <w:lang w:eastAsia="en-GB"/>
        </w:rPr>
      </w:pPr>
      <w:r>
        <w:rPr>
          <w:noProof/>
          <w:lang w:eastAsia="en-GB"/>
        </w:rPr>
        <w:t>This process will also need to manage the possibility of divergent views and stakeholder positions, especially given that the SPAG includes stakeho</w:t>
      </w:r>
      <w:r w:rsidR="00F279AE">
        <w:rPr>
          <w:noProof/>
          <w:lang w:eastAsia="en-GB"/>
        </w:rPr>
        <w:t>lders with different views.</w:t>
      </w:r>
      <w:r>
        <w:rPr>
          <w:noProof/>
          <w:lang w:eastAsia="en-GB"/>
        </w:rPr>
        <w:t xml:space="preserve"> It may therefore not be possible to produce a consensus document that satisfies every stakeholder.  In this regard, it shall be declared that the consolidated assessment expresses the opinions of the experts listed as authors, according to the authorship of each chapter / summary (not their organisations), while the chapters / summary will seek to capture the esssence of different arguments where as far as this is necessary to make the outcomes clear.  </w:t>
      </w:r>
    </w:p>
    <w:p w14:paraId="233FE679" w14:textId="61B17E65" w:rsidR="00665EEE" w:rsidRPr="00B7395B" w:rsidRDefault="00665EEE" w:rsidP="00665EEE">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2</w:t>
      </w:r>
      <w:r w:rsidRPr="00B7395B">
        <w:rPr>
          <w:noProof/>
        </w:rPr>
        <w:t>.</w:t>
      </w:r>
      <w:r>
        <w:rPr>
          <w:noProof/>
        </w:rPr>
        <w:t>5</w:t>
      </w:r>
      <w:r w:rsidRPr="00B7395B">
        <w:rPr>
          <w:noProof/>
        </w:rPr>
        <w:t xml:space="preserve">:  </w:t>
      </w:r>
      <w:r w:rsidRPr="00665EEE">
        <w:rPr>
          <w:noProof/>
        </w:rPr>
        <w:t>Publishing &amp; distribution of consolidated assessment</w:t>
      </w:r>
    </w:p>
    <w:p w14:paraId="65796A53" w14:textId="5576CF02" w:rsidR="00665EEE" w:rsidRPr="00BB495F" w:rsidRDefault="00665EEE" w:rsidP="00665EEE">
      <w:pPr>
        <w:ind w:firstLine="720"/>
        <w:rPr>
          <w:b/>
          <w:i/>
          <w:noProof/>
        </w:rPr>
      </w:pPr>
      <w:r w:rsidRPr="00704FBC">
        <w:rPr>
          <w:b/>
          <w:i/>
          <w:noProof/>
        </w:rPr>
        <w:t xml:space="preserve">Task Output </w:t>
      </w:r>
      <w:r>
        <w:rPr>
          <w:b/>
          <w:i/>
          <w:noProof/>
        </w:rPr>
        <w:t>2</w:t>
      </w:r>
      <w:r w:rsidRPr="00704FBC">
        <w:rPr>
          <w:b/>
          <w:i/>
          <w:noProof/>
        </w:rPr>
        <w:t>.</w:t>
      </w:r>
      <w:r>
        <w:rPr>
          <w:b/>
          <w:i/>
          <w:noProof/>
        </w:rPr>
        <w:t>2</w:t>
      </w:r>
      <w:r w:rsidRPr="00704FBC">
        <w:rPr>
          <w:b/>
          <w:i/>
          <w:noProof/>
        </w:rPr>
        <w:t>.</w:t>
      </w:r>
      <w:r>
        <w:rPr>
          <w:b/>
          <w:i/>
          <w:noProof/>
        </w:rPr>
        <w:t>5</w:t>
      </w:r>
      <w:r w:rsidRPr="00704FBC">
        <w:rPr>
          <w:b/>
          <w:i/>
          <w:noProof/>
        </w:rPr>
        <w:t xml:space="preserve">: </w:t>
      </w:r>
      <w:r>
        <w:rPr>
          <w:b/>
          <w:i/>
          <w:noProof/>
        </w:rPr>
        <w:t xml:space="preserve">Published report with </w:t>
      </w:r>
      <w:r w:rsidRPr="00665EEE">
        <w:rPr>
          <w:b/>
          <w:i/>
          <w:noProof/>
        </w:rPr>
        <w:t>wide public dissemination</w:t>
      </w:r>
    </w:p>
    <w:p w14:paraId="7DF0DF18" w14:textId="02CE5062" w:rsidR="00665EEE" w:rsidRPr="00FA74DC" w:rsidRDefault="00962BB4" w:rsidP="00665EEE">
      <w:pPr>
        <w:pStyle w:val="Leaders"/>
      </w:pPr>
      <w:r>
        <w:rPr>
          <w:lang w:eastAsia="en-GB"/>
        </w:rPr>
        <w:t>Task</w:t>
      </w:r>
      <w:r w:rsidR="00665EEE" w:rsidRPr="00B7395B">
        <w:rPr>
          <w:lang w:eastAsia="en-GB"/>
        </w:rPr>
        <w:t xml:space="preserve"> Co-Leads:  </w:t>
      </w:r>
      <w:r w:rsidR="00665EEE" w:rsidRPr="00B7395B">
        <w:t>INI (</w:t>
      </w:r>
      <w:r w:rsidR="00665EEE">
        <w:t>Sutton and Howard, PCU, NERC).</w:t>
      </w:r>
    </w:p>
    <w:p w14:paraId="1CAB9FF8" w14:textId="110ACED4" w:rsidR="00665EEE" w:rsidRDefault="0069637C" w:rsidP="00665EEE">
      <w:pPr>
        <w:rPr>
          <w:noProof/>
          <w:lang w:eastAsia="en-GB"/>
        </w:rPr>
      </w:pPr>
      <w:r>
        <w:rPr>
          <w:noProof/>
          <w:lang w:eastAsia="en-GB"/>
        </w:rPr>
        <w:t xml:space="preserve">Negotiations will be entered into with leading publisher(s) to maximize the public dissemination opportunity of the global consolidated assessment.  Outline discussions have already been had with Cambridge University Press, who have indicated their enthusiasm to publish the product on behalf of INMS, INI,  UNEP and GEF. However, the merits of other altenatives will need to be considered before a final decision is taken.   The PCU envisages the consultation with the PMB, GA and SPAG under Task 2.2.1 will also include feedback on the choice of publisher to maximize global impact. </w:t>
      </w:r>
    </w:p>
    <w:p w14:paraId="7E1BF173" w14:textId="0E2D4F9B" w:rsidR="0069637C" w:rsidRDefault="0069637C" w:rsidP="00665EEE">
      <w:pPr>
        <w:rPr>
          <w:noProof/>
          <w:lang w:eastAsia="en-GB"/>
        </w:rPr>
      </w:pPr>
      <w:r>
        <w:rPr>
          <w:noProof/>
          <w:lang w:eastAsia="en-GB"/>
        </w:rPr>
        <w:t>This task will then cover the process of publishing the consolidated assessment, including submission of final texts and artwork, layout, preparation of proofs, checking with authors, finalisation and distribution itself. This will provide material for action in Component 4 to develop further communication and dissemination approaches, including with press and other media.</w:t>
      </w:r>
    </w:p>
    <w:p w14:paraId="5A70FB46" w14:textId="4B8D3CD8" w:rsidR="00420C3A" w:rsidRDefault="00420C3A" w:rsidP="00665EEE">
      <w:pPr>
        <w:rPr>
          <w:noProof/>
          <w:lang w:eastAsia="en-GB"/>
        </w:rPr>
      </w:pPr>
      <w:r>
        <w:rPr>
          <w:noProof/>
          <w:lang w:eastAsia="en-GB"/>
        </w:rPr>
        <w:t>As part of this task, ongoing discussions will continue on the relationship of this INMS/INI/UNEP process to other international assessment processes, in particular I</w:t>
      </w:r>
      <w:r w:rsidR="00F279AE">
        <w:rPr>
          <w:noProof/>
          <w:lang w:eastAsia="en-GB"/>
        </w:rPr>
        <w:t>BP</w:t>
      </w:r>
      <w:r>
        <w:rPr>
          <w:noProof/>
          <w:lang w:eastAsia="en-GB"/>
        </w:rPr>
        <w:t>ES and IPCC.  There may be advantages to link these processes, but the timing and arguments need to be further evaluated.</w:t>
      </w:r>
    </w:p>
    <w:p w14:paraId="1299A479" w14:textId="77777777" w:rsidR="00E54FFB" w:rsidRDefault="00E54FFB" w:rsidP="00665EEE">
      <w:pPr>
        <w:rPr>
          <w:noProof/>
          <w:lang w:eastAsia="en-GB"/>
        </w:rPr>
      </w:pPr>
    </w:p>
    <w:p w14:paraId="36BA11E9" w14:textId="537B3561" w:rsidR="00982329" w:rsidRPr="00B7395B" w:rsidRDefault="00982329" w:rsidP="00982329">
      <w:pPr>
        <w:pStyle w:val="Heading3"/>
        <w:rPr>
          <w:noProof/>
        </w:rPr>
      </w:pPr>
      <w:bookmarkStart w:id="17" w:name="_Toc442303838"/>
      <w:r w:rsidRPr="00B7395B">
        <w:rPr>
          <w:noProof/>
          <w:lang w:eastAsia="en-GB"/>
        </w:rPr>
        <w:t xml:space="preserve">Activity </w:t>
      </w:r>
      <w:r>
        <w:rPr>
          <w:noProof/>
          <w:lang w:eastAsia="en-GB"/>
        </w:rPr>
        <w:t>2.3</w:t>
      </w:r>
      <w:r w:rsidRPr="00B7395B">
        <w:rPr>
          <w:noProof/>
          <w:lang w:eastAsia="en-GB"/>
        </w:rPr>
        <w:t xml:space="preserve">:  </w:t>
      </w:r>
      <w:r w:rsidR="006F7C8D" w:rsidRPr="006F7C8D">
        <w:rPr>
          <w:noProof/>
          <w:lang w:eastAsia="en-GB"/>
        </w:rPr>
        <w:t>Integrating methods, measures &amp; good practices to address i</w:t>
      </w:r>
      <w:r w:rsidR="006F7C8D">
        <w:rPr>
          <w:noProof/>
          <w:lang w:eastAsia="en-GB"/>
        </w:rPr>
        <w:t>ssues of excess &amp; insufficient reactive nitrogen</w:t>
      </w:r>
      <w:bookmarkEnd w:id="17"/>
    </w:p>
    <w:p w14:paraId="1B4DEDF7" w14:textId="271AB622" w:rsidR="00982329" w:rsidRPr="00440C28" w:rsidRDefault="00982329" w:rsidP="00982329">
      <w:pPr>
        <w:ind w:left="851"/>
        <w:rPr>
          <w:b/>
          <w:i/>
        </w:rPr>
      </w:pPr>
      <w:r w:rsidRPr="00440C28">
        <w:rPr>
          <w:b/>
          <w:i/>
        </w:rPr>
        <w:t xml:space="preserve">Output </w:t>
      </w:r>
      <w:r>
        <w:rPr>
          <w:b/>
          <w:i/>
        </w:rPr>
        <w:t>2</w:t>
      </w:r>
      <w:r w:rsidRPr="00440C28">
        <w:rPr>
          <w:b/>
          <w:i/>
        </w:rPr>
        <w:t>.</w:t>
      </w:r>
      <w:r>
        <w:rPr>
          <w:b/>
          <w:i/>
        </w:rPr>
        <w:t>3</w:t>
      </w:r>
      <w:r w:rsidR="006F7C8D">
        <w:rPr>
          <w:b/>
          <w:i/>
        </w:rPr>
        <w:t xml:space="preserve">: </w:t>
      </w:r>
      <w:r w:rsidR="006F7C8D" w:rsidRPr="006F7C8D">
        <w:rPr>
          <w:b/>
          <w:i/>
        </w:rPr>
        <w:t xml:space="preserve">Consolidation of methods and good practices to address issues of excess and insufficient </w:t>
      </w:r>
      <w:r w:rsidR="006F7C8D">
        <w:rPr>
          <w:b/>
          <w:i/>
        </w:rPr>
        <w:t>reactive nitrogen</w:t>
      </w:r>
    </w:p>
    <w:p w14:paraId="17AED9CD" w14:textId="48B62EEE" w:rsidR="00982329" w:rsidRDefault="00982329" w:rsidP="00982329">
      <w:pPr>
        <w:pStyle w:val="Leaders"/>
      </w:pPr>
      <w:r w:rsidRPr="00B7395B">
        <w:rPr>
          <w:lang w:eastAsia="en-GB"/>
        </w:rPr>
        <w:lastRenderedPageBreak/>
        <w:t xml:space="preserve">Activity Co-Leads:  </w:t>
      </w:r>
      <w:r w:rsidR="000439B9">
        <w:t>TFRN</w:t>
      </w:r>
      <w:r w:rsidR="006F7C8D">
        <w:t xml:space="preserve"> / EU Nitrogen Expert Panel (Oene</w:t>
      </w:r>
      <w:r w:rsidR="00F7451F">
        <w:t>ma, WUR) and TBA</w:t>
      </w:r>
    </w:p>
    <w:p w14:paraId="0112AC0B" w14:textId="77777777" w:rsidR="00C10F11" w:rsidRDefault="00C10F11" w:rsidP="00C10F11">
      <w:r>
        <w:t xml:space="preserve">At present guidance for good management of nitrogen tends to be fragmented between different forms of nitrogen and different issues.  In order to fully exploit the synergies that operate through the nitrogen cycle, and to avoid trade-offs that can also result from the biogeochemical linkages, there is a pressing need to develop consolidated guidance on methods and good practices. Such methods and good practices can be relevant in both areas of excess N (reducing pollution threats) and in areas of insufficient N (making use of limited available resources).  In fact, both issues apply in both cases:  N losses still contribute to pollution even in areas of insufficient agricultural N, while the improving resource use can offer substantial financial benefits in areas of excess N. </w:t>
      </w:r>
    </w:p>
    <w:p w14:paraId="27260561" w14:textId="384775C5" w:rsidR="00C10F11" w:rsidRDefault="00C10F11" w:rsidP="00C10F11">
      <w:r>
        <w:t>This Activity complements the global synthesis of Activity 2.2 as well as contribut</w:t>
      </w:r>
      <w:r w:rsidR="005E241F">
        <w:t>ing</w:t>
      </w:r>
      <w:r>
        <w:t xml:space="preserve"> to it. Its purpose is more technical, focusing on </w:t>
      </w:r>
      <w:r w:rsidR="00AE4C86">
        <w:t xml:space="preserve">reviewing and </w:t>
      </w:r>
      <w:r>
        <w:t xml:space="preserve">integrating detailed descriptions of management guidance for parts of the nitrogen cycle into a </w:t>
      </w:r>
      <w:r w:rsidR="00F279AE">
        <w:t xml:space="preserve">comprehensive </w:t>
      </w:r>
      <w:r>
        <w:t>whole. The starting point is to gather different existing published sources on good practice guidance, also drawing on the Tool developed as part of the UNEP/GEF Global Nutrient Cycles Project, which is a part of the Global Partnership on Nutrient Management. Such documents have been prepared by many bodies and range from the summary guidance of UNEP (2013) in “Drawing down N</w:t>
      </w:r>
      <w:r w:rsidRPr="00F279AE">
        <w:rPr>
          <w:vertAlign w:val="subscript"/>
        </w:rPr>
        <w:t>2</w:t>
      </w:r>
      <w:r>
        <w:t>O” to detailed descriptions of water pollution by national bodies such as US</w:t>
      </w:r>
      <w:r w:rsidR="00F279AE">
        <w:t xml:space="preserve"> </w:t>
      </w:r>
      <w:r>
        <w:t xml:space="preserve">EPA and the European Union, to comprehensive listing of the options for reducing ammonia emissions in the UNECE Ammonia Guidance Document. </w:t>
      </w:r>
      <w:r w:rsidR="00BF5F64">
        <w:t xml:space="preserve"> The challenge is to bring these together, while reviewing emerging technologies and approaches, to prepare more synthetic guidance that highlights the win-wins-wins for </w:t>
      </w:r>
      <w:r w:rsidR="00AE4C86">
        <w:t xml:space="preserve">food production, soil, </w:t>
      </w:r>
      <w:r w:rsidR="00BF5F64">
        <w:t>water</w:t>
      </w:r>
      <w:r w:rsidR="00AE4C86">
        <w:t xml:space="preserve"> and</w:t>
      </w:r>
      <w:r w:rsidR="00BF5F64">
        <w:t xml:space="preserve"> air</w:t>
      </w:r>
      <w:r w:rsidR="00AE4C86">
        <w:t xml:space="preserve"> quality</w:t>
      </w:r>
      <w:r w:rsidR="00BF5F64">
        <w:t>, climate, biodiversity, and energy.</w:t>
      </w:r>
    </w:p>
    <w:p w14:paraId="585E77EE" w14:textId="0D108198" w:rsidR="00BF5F64" w:rsidRDefault="00456A97" w:rsidP="00C10F11">
      <w:r>
        <w:t>Particular attention needs to be given to the better management of nitrogen in agriculture (fertilizer and manures including issues linked to biological nitrogen fixation where relevant). However, th</w:t>
      </w:r>
      <w:r w:rsidR="00786449">
        <w:t>e</w:t>
      </w:r>
      <w:r>
        <w:t xml:space="preserve"> activity needs to consider all possible sources of N where better manage</w:t>
      </w:r>
      <w:r w:rsidR="00786449">
        <w:t xml:space="preserve">ment practices can be developed to reduce adverse effects and offer improved access to the benefits of nitrogen. </w:t>
      </w:r>
      <w:r>
        <w:t xml:space="preserve"> Therefore it is anticipated that the activity and prepared guidance will also include sections on reducing (</w:t>
      </w:r>
      <w:r w:rsidR="00786449">
        <w:t xml:space="preserve">and especially </w:t>
      </w:r>
      <w:r>
        <w:t>recapturing and recycling) NO</w:t>
      </w:r>
      <w:r w:rsidRPr="00786449">
        <w:rPr>
          <w:vertAlign w:val="subscript"/>
        </w:rPr>
        <w:t>x</w:t>
      </w:r>
      <w:r>
        <w:t xml:space="preserve"> emissions, as well as recycling other N resources such as from solid waste and waste water.</w:t>
      </w:r>
      <w:r w:rsidR="00786449">
        <w:t xml:space="preserve"> </w:t>
      </w:r>
      <w:r w:rsidR="00786449" w:rsidRPr="00786449">
        <w:rPr>
          <w:b/>
        </w:rPr>
        <w:t>An overall philosophy to develop better nitrogen recycling approaches rather than denitrification approaches will be explored, especially how this can contribute to Green Economy and Circular Economy developments.</w:t>
      </w:r>
      <w:r w:rsidR="00786449">
        <w:t xml:space="preserve"> </w:t>
      </w:r>
    </w:p>
    <w:p w14:paraId="358280D9" w14:textId="530DF5AE" w:rsidR="00456A97" w:rsidRDefault="00786449" w:rsidP="00C10F11">
      <w:r>
        <w:t xml:space="preserve">The output will consist of a synthetic guidance document for wide dissemination to countries, international organisations, business and advisory services.  In addition, it is expected that the key messages will be incorporated as a specific chapter or chapters in the consolidated global assessment (Activity 2.2). Thirdly, the document will be useful as a key resource to support wider dissemination in Component 4, such as through the identification of a “nitrogen top-ten”: identifying the top ten actions for better nitrogen management, which can be useful for countries, business and civil society. </w:t>
      </w:r>
    </w:p>
    <w:p w14:paraId="052AAC82" w14:textId="29521C98" w:rsidR="0068236A" w:rsidRPr="00483BE1" w:rsidRDefault="0068236A" w:rsidP="0068236A">
      <w:r w:rsidRPr="007D1C94">
        <w:t xml:space="preserve">INMS partners who have proposed to contribute to this activity include:  </w:t>
      </w:r>
      <w:r w:rsidR="000932F5" w:rsidRPr="000932F5">
        <w:t xml:space="preserve">ALTERRA </w:t>
      </w:r>
      <w:r w:rsidR="00483BE1">
        <w:t xml:space="preserve">with WU </w:t>
      </w:r>
      <w:r w:rsidR="000932F5" w:rsidRPr="000932F5">
        <w:t>(The Netherlands)</w:t>
      </w:r>
      <w:r w:rsidR="00483BE1">
        <w:t xml:space="preserve"> </w:t>
      </w:r>
      <w:r w:rsidR="000932F5" w:rsidRPr="00483BE1">
        <w:t>,</w:t>
      </w:r>
      <w:r w:rsidRPr="00483BE1">
        <w:t xml:space="preserve"> </w:t>
      </w:r>
      <w:r w:rsidR="00975AF1" w:rsidRPr="00483BE1">
        <w:t>NERC (UK),</w:t>
      </w:r>
      <w:r w:rsidR="004902C6" w:rsidRPr="00483BE1">
        <w:t xml:space="preserve"> ENEA </w:t>
      </w:r>
      <w:r w:rsidR="00914036" w:rsidRPr="00483BE1">
        <w:t>(Italy)</w:t>
      </w:r>
      <w:r w:rsidR="004902C6" w:rsidRPr="00483BE1">
        <w:t>,</w:t>
      </w:r>
      <w:r w:rsidR="00975AF1" w:rsidRPr="00483BE1">
        <w:t xml:space="preserve"> University of Aarhus (</w:t>
      </w:r>
      <w:r w:rsidR="00102E5B" w:rsidRPr="00483BE1">
        <w:t>D</w:t>
      </w:r>
      <w:r w:rsidR="000932F5" w:rsidRPr="00483BE1">
        <w:t>enmark</w:t>
      </w:r>
      <w:r w:rsidR="00975AF1" w:rsidRPr="00483BE1">
        <w:t xml:space="preserve">), ISA (PT), BBRI </w:t>
      </w:r>
      <w:r w:rsidR="000932F5" w:rsidRPr="00483BE1">
        <w:t>(India</w:t>
      </w:r>
      <w:r w:rsidR="00975AF1" w:rsidRPr="00483BE1">
        <w:t xml:space="preserve">), CAU (China), UNECE, </w:t>
      </w:r>
      <w:r w:rsidR="00102E5B" w:rsidRPr="00483BE1">
        <w:t>RRes</w:t>
      </w:r>
      <w:r w:rsidR="00975AF1" w:rsidRPr="00483BE1">
        <w:t xml:space="preserve">, IARI (India), WRI (US), ISSCAC (China), ECN </w:t>
      </w:r>
      <w:r w:rsidR="00102E5B" w:rsidRPr="00483BE1">
        <w:t>(The Netherlands)</w:t>
      </w:r>
      <w:r w:rsidR="00975AF1" w:rsidRPr="00483BE1">
        <w:t xml:space="preserve">, INRA </w:t>
      </w:r>
      <w:r w:rsidR="00914036" w:rsidRPr="00483BE1">
        <w:t>(France)</w:t>
      </w:r>
      <w:r w:rsidR="00975AF1" w:rsidRPr="00483BE1">
        <w:t xml:space="preserve">, </w:t>
      </w:r>
      <w:r w:rsidR="00102E5B" w:rsidRPr="00483BE1">
        <w:t>UoY</w:t>
      </w:r>
      <w:r w:rsidR="00914036" w:rsidRPr="00483BE1">
        <w:t xml:space="preserve"> </w:t>
      </w:r>
      <w:r w:rsidR="00975AF1" w:rsidRPr="00483BE1">
        <w:t>(UK), CIMMYT</w:t>
      </w:r>
      <w:r w:rsidR="00914036" w:rsidRPr="00483BE1">
        <w:t xml:space="preserve"> (Mexico)</w:t>
      </w:r>
      <w:r w:rsidR="00975AF1" w:rsidRPr="00483BE1">
        <w:t xml:space="preserve">, ADEME </w:t>
      </w:r>
      <w:r w:rsidR="00914036" w:rsidRPr="00483BE1">
        <w:t>(France)</w:t>
      </w:r>
      <w:r w:rsidR="00975AF1" w:rsidRPr="00483BE1">
        <w:t xml:space="preserve">, ARI </w:t>
      </w:r>
      <w:r w:rsidR="00102E5B" w:rsidRPr="00483BE1">
        <w:t>(Russia)</w:t>
      </w:r>
      <w:r w:rsidR="00975AF1" w:rsidRPr="00483BE1">
        <w:t xml:space="preserve">, PBL </w:t>
      </w:r>
      <w:r w:rsidR="00102E5B" w:rsidRPr="00483BE1">
        <w:t>(The Netherlands)</w:t>
      </w:r>
      <w:r w:rsidR="00975AF1" w:rsidRPr="00483BE1">
        <w:t>, North American Centre of INI (represented by USGS, including collaborative stakeholder programme on Agriculture Committee of Rocky Mountain National Park), ILRI (Kenya), FAO</w:t>
      </w:r>
      <w:r w:rsidR="00914036" w:rsidRPr="00483BE1">
        <w:t xml:space="preserve"> AGA (International)</w:t>
      </w:r>
      <w:r w:rsidR="00975AF1" w:rsidRPr="00483BE1">
        <w:t xml:space="preserve">, </w:t>
      </w:r>
      <w:r w:rsidR="00102E5B" w:rsidRPr="00483BE1">
        <w:t>VU</w:t>
      </w:r>
      <w:r w:rsidR="00914036" w:rsidRPr="00483BE1">
        <w:t xml:space="preserve"> </w:t>
      </w:r>
      <w:r w:rsidR="00102E5B" w:rsidRPr="00483BE1">
        <w:t>(The Netherlands)</w:t>
      </w:r>
      <w:r w:rsidR="004902C6" w:rsidRPr="00483BE1">
        <w:t xml:space="preserve">, ATB </w:t>
      </w:r>
      <w:r w:rsidR="00102E5B" w:rsidRPr="00483BE1">
        <w:t>(Denmark)</w:t>
      </w:r>
      <w:r w:rsidR="004902C6" w:rsidRPr="00483BE1">
        <w:t xml:space="preserve">, </w:t>
      </w:r>
      <w:r w:rsidR="00914036" w:rsidRPr="00483BE1">
        <w:t>JRC (EU)</w:t>
      </w:r>
      <w:r w:rsidR="004902C6" w:rsidRPr="00483BE1">
        <w:t>, Fertilizers Europe (E</w:t>
      </w:r>
      <w:r w:rsidR="00914036" w:rsidRPr="00483BE1">
        <w:t>urope</w:t>
      </w:r>
      <w:r w:rsidR="004902C6" w:rsidRPr="00483BE1">
        <w:t xml:space="preserve">), </w:t>
      </w:r>
      <w:r w:rsidR="00914036" w:rsidRPr="00483BE1">
        <w:t>ENEA (Italy</w:t>
      </w:r>
      <w:r w:rsidR="004902C6" w:rsidRPr="00483BE1">
        <w:t>).</w:t>
      </w:r>
    </w:p>
    <w:p w14:paraId="76FC5C43" w14:textId="49C0FA46" w:rsidR="0068236A" w:rsidRDefault="00975AF1" w:rsidP="0068236A">
      <w:r w:rsidRPr="00483BE1">
        <w:lastRenderedPageBreak/>
        <w:t xml:space="preserve">The following </w:t>
      </w:r>
      <w:r w:rsidR="004902C6" w:rsidRPr="00483BE1">
        <w:t xml:space="preserve">are anticipated </w:t>
      </w:r>
      <w:r w:rsidRPr="00483BE1">
        <w:t xml:space="preserve">to contribute </w:t>
      </w:r>
      <w:r w:rsidR="004902C6" w:rsidRPr="00483BE1">
        <w:t>advice and as</w:t>
      </w:r>
      <w:r w:rsidRPr="00483BE1">
        <w:t xml:space="preserve"> reviewers: </w:t>
      </w:r>
      <w:r w:rsidR="000932F5" w:rsidRPr="00483BE1">
        <w:t>WUR LR (The Netherlands),</w:t>
      </w:r>
      <w:r w:rsidR="00483BE1" w:rsidRPr="00483BE1">
        <w:t xml:space="preserve"> PCH (Spain),</w:t>
      </w:r>
      <w:r w:rsidR="000932F5" w:rsidRPr="00483BE1">
        <w:t xml:space="preserve"> </w:t>
      </w:r>
      <w:r w:rsidR="00914036" w:rsidRPr="00483BE1">
        <w:t>DETJTR (Australia), AgResearch Ltd (New Zealand)</w:t>
      </w:r>
      <w:r w:rsidR="004902C6" w:rsidRPr="00483BE1">
        <w:t xml:space="preserve">. </w:t>
      </w:r>
      <w:r w:rsidR="0068236A" w:rsidRPr="00483BE1">
        <w:t>As this activity develops the core teams will work to in</w:t>
      </w:r>
      <w:r w:rsidR="0068236A">
        <w:t xml:space="preserve">clude other areas of expertise in this activity so as to widen its relevance and eventual impact. This will also allow the activity to profile new innovations in its activity. </w:t>
      </w:r>
    </w:p>
    <w:p w14:paraId="7A1C8465" w14:textId="1E90AAC2" w:rsidR="0068236A" w:rsidRPr="00072447" w:rsidRDefault="0068236A" w:rsidP="0068236A">
      <w:r>
        <w:t xml:space="preserve"> </w:t>
      </w:r>
    </w:p>
    <w:p w14:paraId="44889B54" w14:textId="4E1FB89A" w:rsidR="000439B9" w:rsidRPr="00B7395B" w:rsidRDefault="000439B9" w:rsidP="000439B9">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3</w:t>
      </w:r>
      <w:r w:rsidRPr="00B7395B">
        <w:rPr>
          <w:noProof/>
        </w:rPr>
        <w:t>.</w:t>
      </w:r>
      <w:r>
        <w:rPr>
          <w:noProof/>
        </w:rPr>
        <w:t>1</w:t>
      </w:r>
      <w:r w:rsidRPr="00B7395B">
        <w:rPr>
          <w:noProof/>
        </w:rPr>
        <w:t xml:space="preserve">:  </w:t>
      </w:r>
      <w:r w:rsidRPr="000439B9">
        <w:rPr>
          <w:noProof/>
        </w:rPr>
        <w:t xml:space="preserve">Preparation of documents on state of the art for </w:t>
      </w:r>
      <w:r w:rsidR="0079063A">
        <w:rPr>
          <w:noProof/>
        </w:rPr>
        <w:t>best nitrogen management practices</w:t>
      </w:r>
    </w:p>
    <w:p w14:paraId="47BBBAB5" w14:textId="0DA80001" w:rsidR="000439B9" w:rsidRPr="00BB495F" w:rsidRDefault="000439B9" w:rsidP="000439B9">
      <w:pPr>
        <w:ind w:firstLine="720"/>
        <w:rPr>
          <w:b/>
          <w:i/>
          <w:noProof/>
        </w:rPr>
      </w:pPr>
      <w:r w:rsidRPr="00704FBC">
        <w:rPr>
          <w:b/>
          <w:i/>
          <w:noProof/>
        </w:rPr>
        <w:t xml:space="preserve">Task Output </w:t>
      </w:r>
      <w:r>
        <w:rPr>
          <w:b/>
          <w:i/>
          <w:noProof/>
        </w:rPr>
        <w:t>2</w:t>
      </w:r>
      <w:r w:rsidRPr="00704FBC">
        <w:rPr>
          <w:b/>
          <w:i/>
          <w:noProof/>
        </w:rPr>
        <w:t>.</w:t>
      </w:r>
      <w:r>
        <w:rPr>
          <w:b/>
          <w:i/>
          <w:noProof/>
        </w:rPr>
        <w:t>3</w:t>
      </w:r>
      <w:r w:rsidRPr="00704FBC">
        <w:rPr>
          <w:b/>
          <w:i/>
          <w:noProof/>
        </w:rPr>
        <w:t>.</w:t>
      </w:r>
      <w:r>
        <w:rPr>
          <w:b/>
          <w:i/>
          <w:noProof/>
        </w:rPr>
        <w:t>1</w:t>
      </w:r>
      <w:r w:rsidRPr="00704FBC">
        <w:rPr>
          <w:b/>
          <w:i/>
          <w:noProof/>
        </w:rPr>
        <w:t xml:space="preserve">: </w:t>
      </w:r>
      <w:r w:rsidRPr="000439B9">
        <w:rPr>
          <w:b/>
          <w:i/>
          <w:noProof/>
        </w:rPr>
        <w:t>Background documents produced &amp; available for workshop input</w:t>
      </w:r>
    </w:p>
    <w:p w14:paraId="07F69FC1" w14:textId="1033405F" w:rsidR="000439B9" w:rsidRPr="00FA74DC" w:rsidRDefault="00962BB4" w:rsidP="000439B9">
      <w:pPr>
        <w:pStyle w:val="Leaders"/>
      </w:pPr>
      <w:r>
        <w:rPr>
          <w:lang w:eastAsia="en-GB"/>
        </w:rPr>
        <w:t>Task</w:t>
      </w:r>
      <w:r w:rsidR="000439B9" w:rsidRPr="00B7395B">
        <w:rPr>
          <w:lang w:eastAsia="en-GB"/>
        </w:rPr>
        <w:t xml:space="preserve"> Co-Leads:  </w:t>
      </w:r>
      <w:r w:rsidR="000439B9">
        <w:t xml:space="preserve">Oenema (WUR, NL) and </w:t>
      </w:r>
      <w:r w:rsidR="00826DC4">
        <w:t>tba</w:t>
      </w:r>
    </w:p>
    <w:p w14:paraId="39B67D57" w14:textId="77777777" w:rsidR="00826DC4" w:rsidRDefault="00826DC4" w:rsidP="00665EEE">
      <w:pPr>
        <w:rPr>
          <w:noProof/>
          <w:lang w:eastAsia="en-GB"/>
        </w:rPr>
      </w:pPr>
      <w:r>
        <w:rPr>
          <w:noProof/>
          <w:lang w:eastAsia="en-GB"/>
        </w:rPr>
        <w:t xml:space="preserve">The first task of this activity is to gather material that is already available on good management of different parts of the nitrogen cycle for different impacts. The information to be gathered should cover the following sectors and the following issues.  </w:t>
      </w:r>
    </w:p>
    <w:p w14:paraId="792BD8B3" w14:textId="1BE8D0DD" w:rsidR="000439B9" w:rsidRDefault="00826DC4" w:rsidP="00665EEE">
      <w:pPr>
        <w:rPr>
          <w:noProof/>
          <w:lang w:eastAsia="en-GB"/>
        </w:rPr>
      </w:pPr>
      <w:r>
        <w:rPr>
          <w:noProof/>
          <w:lang w:eastAsia="en-GB"/>
        </w:rPr>
        <w:t xml:space="preserve"> With regard to sectors, particular attention </w:t>
      </w:r>
      <w:r w:rsidR="0079063A">
        <w:rPr>
          <w:noProof/>
          <w:lang w:eastAsia="en-GB"/>
        </w:rPr>
        <w:t>will</w:t>
      </w:r>
      <w:r w:rsidR="00FE595D">
        <w:rPr>
          <w:noProof/>
          <w:lang w:eastAsia="en-GB"/>
        </w:rPr>
        <w:t xml:space="preserve"> </w:t>
      </w:r>
      <w:r>
        <w:rPr>
          <w:noProof/>
          <w:lang w:eastAsia="en-GB"/>
        </w:rPr>
        <w:t>be given to collecting management guidance on agriculture (including cropping systems, manure management and livestock man</w:t>
      </w:r>
      <w:r w:rsidR="0079063A">
        <w:rPr>
          <w:noProof/>
          <w:lang w:eastAsia="en-GB"/>
        </w:rPr>
        <w:t>a</w:t>
      </w:r>
      <w:r>
        <w:rPr>
          <w:noProof/>
          <w:lang w:eastAsia="en-GB"/>
        </w:rPr>
        <w:t>gement</w:t>
      </w:r>
      <w:r w:rsidR="005E241F">
        <w:rPr>
          <w:noProof/>
          <w:lang w:eastAsia="en-GB"/>
        </w:rPr>
        <w:t>)</w:t>
      </w:r>
      <w:r>
        <w:rPr>
          <w:noProof/>
          <w:lang w:eastAsia="en-GB"/>
        </w:rPr>
        <w:t xml:space="preserve">.  In addition, attention will also be given to management in later parts of the food chain (although subject to agreement, this is not expected to include households and citizens choices which are addressed in Activity 1.6).  Attention will also be given to other sectors including current guidance </w:t>
      </w:r>
      <w:r w:rsidR="005E241F">
        <w:rPr>
          <w:noProof/>
          <w:lang w:eastAsia="en-GB"/>
        </w:rPr>
        <w:t>for</w:t>
      </w:r>
      <w:r>
        <w:rPr>
          <w:noProof/>
          <w:lang w:eastAsia="en-GB"/>
        </w:rPr>
        <w:t xml:space="preserve"> reducing NOx emissions and the potential to develop NO</w:t>
      </w:r>
      <w:r w:rsidRPr="00826DC4">
        <w:rPr>
          <w:noProof/>
          <w:vertAlign w:val="subscript"/>
          <w:lang w:eastAsia="en-GB"/>
        </w:rPr>
        <w:t>x</w:t>
      </w:r>
      <w:r>
        <w:rPr>
          <w:noProof/>
          <w:lang w:eastAsia="en-GB"/>
        </w:rPr>
        <w:t xml:space="preserve"> recycling opportunities, as well as recycling of nitrogen in solid wastes and waste water streams. </w:t>
      </w:r>
    </w:p>
    <w:p w14:paraId="547788C2" w14:textId="4DA17192" w:rsidR="00826DC4" w:rsidRDefault="00826DC4" w:rsidP="00665EEE">
      <w:pPr>
        <w:rPr>
          <w:noProof/>
          <w:lang w:eastAsia="en-GB"/>
        </w:rPr>
      </w:pPr>
      <w:r>
        <w:rPr>
          <w:noProof/>
          <w:lang w:eastAsia="en-GB"/>
        </w:rPr>
        <w:t>With regard to impacts, available guidance will be brought together as this links to all major impacts of N losses including effects on water quality (freshwater and marine), air pollution, greenhouse gases and economic effectiveness for sectors. For the latter, this implies the inclusion of measures that not only reduce reactive nitrogen losses, but also losses of denitrification to N</w:t>
      </w:r>
      <w:r w:rsidRPr="00826DC4">
        <w:rPr>
          <w:noProof/>
          <w:vertAlign w:val="subscript"/>
          <w:lang w:eastAsia="en-GB"/>
        </w:rPr>
        <w:t>2</w:t>
      </w:r>
      <w:r>
        <w:rPr>
          <w:noProof/>
          <w:lang w:eastAsia="en-GB"/>
        </w:rPr>
        <w:t xml:space="preserve">, given </w:t>
      </w:r>
      <w:r w:rsidR="005E241F">
        <w:rPr>
          <w:noProof/>
          <w:lang w:eastAsia="en-GB"/>
        </w:rPr>
        <w:t>th</w:t>
      </w:r>
      <w:r>
        <w:rPr>
          <w:noProof/>
          <w:lang w:eastAsia="en-GB"/>
        </w:rPr>
        <w:t xml:space="preserve">e substantial product value (i.e. fertilizer and other value) of N losses. </w:t>
      </w:r>
    </w:p>
    <w:p w14:paraId="40F9E943" w14:textId="66A5F925" w:rsidR="00826DC4" w:rsidRDefault="00826DC4" w:rsidP="00665EEE">
      <w:pPr>
        <w:rPr>
          <w:noProof/>
          <w:lang w:eastAsia="en-GB"/>
        </w:rPr>
      </w:pPr>
      <w:r>
        <w:rPr>
          <w:noProof/>
          <w:lang w:eastAsia="en-GB"/>
        </w:rPr>
        <w:t xml:space="preserve">It should be emphasized that it is not the role of this task to address these different impacts and issues, which are being addressed elsewhere in Towards INMS. Rather, this task needs to take account of each of these issues in developing joined up guidance for good nitrogen management. </w:t>
      </w:r>
    </w:p>
    <w:p w14:paraId="0853FEC6" w14:textId="600222BC" w:rsidR="00826DC4" w:rsidRDefault="00826DC4" w:rsidP="00665EEE">
      <w:pPr>
        <w:rPr>
          <w:noProof/>
          <w:lang w:eastAsia="en-GB"/>
        </w:rPr>
      </w:pPr>
      <w:r>
        <w:rPr>
          <w:noProof/>
          <w:lang w:eastAsia="en-GB"/>
        </w:rPr>
        <w:t xml:space="preserve">This task will simultaneously work to further build the international Community of Practice in good nitrogen management methods, bringing together experts from different areas of expertise. It will be supported in this regard by dissemination activities in Component 4. </w:t>
      </w:r>
    </w:p>
    <w:p w14:paraId="319184A1" w14:textId="4DC6B094" w:rsidR="00420C3A" w:rsidRDefault="00420C3A" w:rsidP="00665EEE">
      <w:pPr>
        <w:rPr>
          <w:noProof/>
          <w:lang w:eastAsia="en-GB"/>
        </w:rPr>
      </w:pPr>
      <w:r>
        <w:rPr>
          <w:noProof/>
          <w:lang w:eastAsia="en-GB"/>
        </w:rPr>
        <w:t xml:space="preserve">The task will lead to the preparation of a group of background documents which can stimulate discussion on these issues. In particular, it will stimulate a first concept of how a future joined up guidance document for nitrogen management should look, and to which policy frameworks it would be linked (e.g. UNEP, UNECE, CBD, GPA, FAO etc). </w:t>
      </w:r>
    </w:p>
    <w:p w14:paraId="22254ED4" w14:textId="77777777" w:rsidR="000439B9" w:rsidRDefault="000439B9" w:rsidP="00826DC4">
      <w:pPr>
        <w:rPr>
          <w:noProof/>
          <w:lang w:eastAsia="en-GB"/>
        </w:rPr>
      </w:pPr>
    </w:p>
    <w:p w14:paraId="485C31DB" w14:textId="7FED41B3" w:rsidR="000439B9" w:rsidRPr="00B7395B" w:rsidRDefault="000439B9" w:rsidP="000439B9">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3</w:t>
      </w:r>
      <w:r w:rsidRPr="00B7395B">
        <w:rPr>
          <w:noProof/>
        </w:rPr>
        <w:t>.</w:t>
      </w:r>
      <w:r>
        <w:rPr>
          <w:noProof/>
        </w:rPr>
        <w:t>2</w:t>
      </w:r>
      <w:r w:rsidRPr="00B7395B">
        <w:rPr>
          <w:noProof/>
        </w:rPr>
        <w:t xml:space="preserve">:  </w:t>
      </w:r>
      <w:r w:rsidRPr="000439B9">
        <w:rPr>
          <w:noProof/>
        </w:rPr>
        <w:t>Workshop to link methods &amp; good practices for N effects (food, water, air, climate etc)</w:t>
      </w:r>
    </w:p>
    <w:p w14:paraId="13F17BD9" w14:textId="75E8C7AB" w:rsidR="000439B9" w:rsidRPr="00BB495F" w:rsidRDefault="000439B9" w:rsidP="000439B9">
      <w:pPr>
        <w:ind w:firstLine="720"/>
        <w:rPr>
          <w:b/>
          <w:i/>
          <w:noProof/>
        </w:rPr>
      </w:pPr>
      <w:r w:rsidRPr="00704FBC">
        <w:rPr>
          <w:b/>
          <w:i/>
          <w:noProof/>
        </w:rPr>
        <w:t xml:space="preserve">Task Output </w:t>
      </w:r>
      <w:r>
        <w:rPr>
          <w:b/>
          <w:i/>
          <w:noProof/>
        </w:rPr>
        <w:t>2</w:t>
      </w:r>
      <w:r w:rsidRPr="00704FBC">
        <w:rPr>
          <w:b/>
          <w:i/>
          <w:noProof/>
        </w:rPr>
        <w:t>.</w:t>
      </w:r>
      <w:r>
        <w:rPr>
          <w:b/>
          <w:i/>
          <w:noProof/>
        </w:rPr>
        <w:t>3</w:t>
      </w:r>
      <w:r w:rsidRPr="00704FBC">
        <w:rPr>
          <w:b/>
          <w:i/>
          <w:noProof/>
        </w:rPr>
        <w:t>.</w:t>
      </w:r>
      <w:r>
        <w:rPr>
          <w:b/>
          <w:i/>
          <w:noProof/>
        </w:rPr>
        <w:t>2</w:t>
      </w:r>
      <w:r w:rsidRPr="00704FBC">
        <w:rPr>
          <w:b/>
          <w:i/>
          <w:noProof/>
        </w:rPr>
        <w:t xml:space="preserve">: </w:t>
      </w:r>
      <w:r w:rsidRPr="000439B9">
        <w:rPr>
          <w:b/>
          <w:i/>
          <w:noProof/>
        </w:rPr>
        <w:t>Basis for developing guidance linking N forms &amp; issues, high-lighting most promising options</w:t>
      </w:r>
    </w:p>
    <w:p w14:paraId="3228ECC7" w14:textId="114AA5B7" w:rsidR="000439B9" w:rsidRPr="00FA74DC" w:rsidRDefault="00962BB4" w:rsidP="000439B9">
      <w:pPr>
        <w:pStyle w:val="Leaders"/>
      </w:pPr>
      <w:r>
        <w:rPr>
          <w:lang w:eastAsia="en-GB"/>
        </w:rPr>
        <w:t>Task</w:t>
      </w:r>
      <w:r w:rsidR="000439B9" w:rsidRPr="00B7395B">
        <w:rPr>
          <w:lang w:eastAsia="en-GB"/>
        </w:rPr>
        <w:t xml:space="preserve"> Co-Leads:  </w:t>
      </w:r>
      <w:r w:rsidR="00F7451F">
        <w:t>Oenema (WUR, NL) and TBA</w:t>
      </w:r>
    </w:p>
    <w:p w14:paraId="457E356D" w14:textId="77777777" w:rsidR="00924FA7" w:rsidRDefault="00420C3A" w:rsidP="00665EEE">
      <w:pPr>
        <w:rPr>
          <w:noProof/>
          <w:lang w:eastAsia="en-GB"/>
        </w:rPr>
      </w:pPr>
      <w:r>
        <w:rPr>
          <w:noProof/>
          <w:lang w:eastAsia="en-GB"/>
        </w:rPr>
        <w:lastRenderedPageBreak/>
        <w:t>The workshop will bring together experts in a wide range of disciplines relevant to reducing nitrogen losses and promoting good practices to minimize the adverse effects of nitrogen and to maximize the co-benefits, for economy, environment, food and healt</w:t>
      </w:r>
      <w:r w:rsidR="005E241F">
        <w:rPr>
          <w:noProof/>
          <w:lang w:eastAsia="en-GB"/>
        </w:rPr>
        <w:t>h</w:t>
      </w:r>
      <w:r>
        <w:rPr>
          <w:noProof/>
          <w:lang w:eastAsia="en-GB"/>
        </w:rPr>
        <w:t xml:space="preserve"> etc.   The discussion will be informed by presentation of the background documents, and a proposal made for how the joined up guidance should look. </w:t>
      </w:r>
    </w:p>
    <w:p w14:paraId="11A7E7E8" w14:textId="77777777" w:rsidR="00924FA7" w:rsidRDefault="00924FA7" w:rsidP="00924FA7">
      <w:pPr>
        <w:rPr>
          <w:noProof/>
          <w:lang w:eastAsia="en-GB"/>
        </w:rPr>
      </w:pPr>
      <w:r>
        <w:rPr>
          <w:noProof/>
          <w:lang w:eastAsia="en-GB"/>
        </w:rPr>
        <w:t xml:space="preserve">The proposal, including the vision, scope and outline structure will be provided to the PMB and SPAG for their comments, and then submitted to the GA for amendment and agreement on the approach. </w:t>
      </w:r>
    </w:p>
    <w:p w14:paraId="41E4BE35" w14:textId="202124F6" w:rsidR="00420C3A" w:rsidRDefault="00924FA7" w:rsidP="00665EEE">
      <w:pPr>
        <w:rPr>
          <w:noProof/>
          <w:lang w:eastAsia="en-GB"/>
        </w:rPr>
      </w:pPr>
      <w:r>
        <w:rPr>
          <w:noProof/>
          <w:lang w:eastAsia="en-GB"/>
        </w:rPr>
        <w:t xml:space="preserve">Note that it may be possible to structure this as two workshop (a, wider scoping  and b, more detailed review) which will also facilitate close engatgement with SPAG and GA.  Whether it is possible to do this in two steps will depend on the potential for synergies with other workshops (e.g. back-to-back appraoch) and the potential for drawing in additional cash co-financing. </w:t>
      </w:r>
    </w:p>
    <w:p w14:paraId="2F80328D" w14:textId="5E3CB2B3" w:rsidR="00185A10" w:rsidRDefault="00420C3A" w:rsidP="00665EEE">
      <w:pPr>
        <w:rPr>
          <w:noProof/>
          <w:lang w:eastAsia="en-GB"/>
        </w:rPr>
      </w:pPr>
      <w:r>
        <w:rPr>
          <w:noProof/>
          <w:lang w:eastAsia="en-GB"/>
        </w:rPr>
        <w:t xml:space="preserve">In parallel, it is expected that the concept document be shared in the relevant policy </w:t>
      </w:r>
      <w:r w:rsidR="00185A10">
        <w:rPr>
          <w:noProof/>
          <w:lang w:eastAsia="en-GB"/>
        </w:rPr>
        <w:t xml:space="preserve">domains where it can contribute simultaneously, for their feedback and to foster their engagement in the process. This will include regional conventions/programmes linked to the INMS demonstrations,  e.g. UNECE (LRTAP and Water Conventions;  European Union;  Black Sea Commission, Danube River Basin Commission;  South Asia Cooperative Environment Programme (SACEP), PEMSEA, </w:t>
      </w:r>
      <w:r w:rsidR="00102E5B">
        <w:rPr>
          <w:noProof/>
          <w:lang w:eastAsia="en-GB"/>
        </w:rPr>
        <w:t>LVBC</w:t>
      </w:r>
      <w:r w:rsidR="00185A10">
        <w:rPr>
          <w:noProof/>
          <w:lang w:eastAsia="en-GB"/>
        </w:rPr>
        <w:t xml:space="preserve">; La Plata River Basin Commission etc.), as well as global processes including UNEP, CBD, GPA, GPNM, FAO, IPCC, Vienna Convention (Montreal Protocol), WHO and WMO.  </w:t>
      </w:r>
    </w:p>
    <w:p w14:paraId="671069EE" w14:textId="6D8F42EC" w:rsidR="000439B9" w:rsidRDefault="00185A10" w:rsidP="00665EEE">
      <w:pPr>
        <w:rPr>
          <w:noProof/>
          <w:lang w:eastAsia="en-GB"/>
        </w:rPr>
      </w:pPr>
      <w:r>
        <w:rPr>
          <w:noProof/>
          <w:lang w:eastAsia="en-GB"/>
        </w:rPr>
        <w:t>In this way, this process will foster engagement in the developing concept of a ‘nitrogen policy arena’ in cooperation with Component 4.</w:t>
      </w:r>
    </w:p>
    <w:p w14:paraId="108F56F3" w14:textId="4DC017BE" w:rsidR="000439B9" w:rsidRPr="00B7395B" w:rsidRDefault="000439B9" w:rsidP="000439B9">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3</w:t>
      </w:r>
      <w:r w:rsidRPr="00B7395B">
        <w:rPr>
          <w:noProof/>
        </w:rPr>
        <w:t>.</w:t>
      </w:r>
      <w:r>
        <w:rPr>
          <w:noProof/>
        </w:rPr>
        <w:t>3</w:t>
      </w:r>
      <w:r w:rsidRPr="00B7395B">
        <w:rPr>
          <w:noProof/>
        </w:rPr>
        <w:t xml:space="preserve">:  </w:t>
      </w:r>
      <w:r w:rsidRPr="000439B9">
        <w:rPr>
          <w:noProof/>
        </w:rPr>
        <w:t>Publishing of revised papers and preparation of synthetic guidance document</w:t>
      </w:r>
    </w:p>
    <w:p w14:paraId="66075934" w14:textId="30BBB51B" w:rsidR="000439B9" w:rsidRPr="00BB495F" w:rsidRDefault="000439B9" w:rsidP="000439B9">
      <w:pPr>
        <w:ind w:firstLine="720"/>
        <w:rPr>
          <w:b/>
          <w:i/>
          <w:noProof/>
        </w:rPr>
      </w:pPr>
      <w:r w:rsidRPr="00704FBC">
        <w:rPr>
          <w:b/>
          <w:i/>
          <w:noProof/>
        </w:rPr>
        <w:t xml:space="preserve">Task Output </w:t>
      </w:r>
      <w:r>
        <w:rPr>
          <w:b/>
          <w:i/>
          <w:noProof/>
        </w:rPr>
        <w:t>2</w:t>
      </w:r>
      <w:r w:rsidRPr="00704FBC">
        <w:rPr>
          <w:b/>
          <w:i/>
          <w:noProof/>
        </w:rPr>
        <w:t>.</w:t>
      </w:r>
      <w:r>
        <w:rPr>
          <w:b/>
          <w:i/>
          <w:noProof/>
        </w:rPr>
        <w:t>3</w:t>
      </w:r>
      <w:r w:rsidRPr="00704FBC">
        <w:rPr>
          <w:b/>
          <w:i/>
          <w:noProof/>
        </w:rPr>
        <w:t>.</w:t>
      </w:r>
      <w:r>
        <w:rPr>
          <w:b/>
          <w:i/>
          <w:noProof/>
        </w:rPr>
        <w:t>3</w:t>
      </w:r>
      <w:r w:rsidRPr="00704FBC">
        <w:rPr>
          <w:b/>
          <w:i/>
          <w:noProof/>
        </w:rPr>
        <w:t xml:space="preserve">: </w:t>
      </w:r>
      <w:r w:rsidRPr="000439B9">
        <w:rPr>
          <w:b/>
          <w:i/>
          <w:noProof/>
        </w:rPr>
        <w:t>Workshop report,</w:t>
      </w:r>
      <w:r>
        <w:rPr>
          <w:b/>
          <w:i/>
          <w:noProof/>
        </w:rPr>
        <w:t xml:space="preserve"> with guidance doc</w:t>
      </w:r>
      <w:r w:rsidR="00185A10">
        <w:rPr>
          <w:b/>
          <w:i/>
          <w:noProof/>
        </w:rPr>
        <w:t>ument</w:t>
      </w:r>
      <w:r>
        <w:rPr>
          <w:b/>
          <w:i/>
          <w:noProof/>
        </w:rPr>
        <w:t xml:space="preserve"> synthesized </w:t>
      </w:r>
      <w:r w:rsidRPr="000439B9">
        <w:rPr>
          <w:b/>
          <w:i/>
          <w:noProof/>
        </w:rPr>
        <w:t>for wide review</w:t>
      </w:r>
    </w:p>
    <w:p w14:paraId="42F6112F" w14:textId="3448E8F1" w:rsidR="000439B9" w:rsidRPr="00FA74DC" w:rsidRDefault="00962BB4" w:rsidP="000439B9">
      <w:pPr>
        <w:pStyle w:val="Leaders"/>
      </w:pPr>
      <w:r>
        <w:rPr>
          <w:lang w:eastAsia="en-GB"/>
        </w:rPr>
        <w:t>Task</w:t>
      </w:r>
      <w:r w:rsidR="000439B9" w:rsidRPr="00B7395B">
        <w:rPr>
          <w:lang w:eastAsia="en-GB"/>
        </w:rPr>
        <w:t xml:space="preserve"> Co-Leads:  </w:t>
      </w:r>
      <w:r w:rsidR="000439B9">
        <w:t xml:space="preserve">Oenema (WUR, NL) and </w:t>
      </w:r>
      <w:r w:rsidR="00924FA7">
        <w:t>TBA</w:t>
      </w:r>
    </w:p>
    <w:p w14:paraId="34B6D6FB" w14:textId="458ECC39" w:rsidR="00185A10" w:rsidRDefault="00185A10" w:rsidP="00665EEE">
      <w:pPr>
        <w:rPr>
          <w:noProof/>
          <w:lang w:eastAsia="en-GB"/>
        </w:rPr>
      </w:pPr>
      <w:r>
        <w:rPr>
          <w:noProof/>
          <w:lang w:eastAsia="en-GB"/>
        </w:rPr>
        <w:t xml:space="preserve">Based on the workshop report and wider stakeholder feedback the background documents will be used as a basis to prepare sections/chapters to a draft guidance document.  This will provide a first version of the draft guidance document on joined-up nitrogen management, which can then be provided back to stakeholders (as listed above) for their review. </w:t>
      </w:r>
    </w:p>
    <w:p w14:paraId="718443DE" w14:textId="0937D793" w:rsidR="000439B9" w:rsidRPr="00B7395B" w:rsidRDefault="000439B9" w:rsidP="000439B9">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3</w:t>
      </w:r>
      <w:r w:rsidRPr="00B7395B">
        <w:rPr>
          <w:noProof/>
        </w:rPr>
        <w:t>.</w:t>
      </w:r>
      <w:r>
        <w:rPr>
          <w:noProof/>
        </w:rPr>
        <w:t>4</w:t>
      </w:r>
      <w:r w:rsidRPr="00B7395B">
        <w:rPr>
          <w:noProof/>
        </w:rPr>
        <w:t xml:space="preserve">:  </w:t>
      </w:r>
      <w:r w:rsidRPr="000439B9">
        <w:rPr>
          <w:noProof/>
        </w:rPr>
        <w:t>Peer and Stakeholder review of Synthetic N guidance document</w:t>
      </w:r>
    </w:p>
    <w:p w14:paraId="7A2C7F99" w14:textId="31E8B435" w:rsidR="000439B9" w:rsidRPr="00BB495F" w:rsidRDefault="000439B9" w:rsidP="000439B9">
      <w:pPr>
        <w:ind w:firstLine="720"/>
        <w:rPr>
          <w:b/>
          <w:i/>
          <w:noProof/>
        </w:rPr>
      </w:pPr>
      <w:r w:rsidRPr="00704FBC">
        <w:rPr>
          <w:b/>
          <w:i/>
          <w:noProof/>
        </w:rPr>
        <w:t xml:space="preserve">Task Output </w:t>
      </w:r>
      <w:r>
        <w:rPr>
          <w:b/>
          <w:i/>
          <w:noProof/>
        </w:rPr>
        <w:t>2</w:t>
      </w:r>
      <w:r w:rsidRPr="00704FBC">
        <w:rPr>
          <w:b/>
          <w:i/>
          <w:noProof/>
        </w:rPr>
        <w:t>.</w:t>
      </w:r>
      <w:r>
        <w:rPr>
          <w:b/>
          <w:i/>
          <w:noProof/>
        </w:rPr>
        <w:t>3</w:t>
      </w:r>
      <w:r w:rsidRPr="00704FBC">
        <w:rPr>
          <w:b/>
          <w:i/>
          <w:noProof/>
        </w:rPr>
        <w:t>.</w:t>
      </w:r>
      <w:r>
        <w:rPr>
          <w:b/>
          <w:i/>
          <w:noProof/>
        </w:rPr>
        <w:t>4</w:t>
      </w:r>
      <w:r w:rsidRPr="00704FBC">
        <w:rPr>
          <w:b/>
          <w:i/>
          <w:noProof/>
        </w:rPr>
        <w:t xml:space="preserve">: </w:t>
      </w:r>
      <w:r w:rsidRPr="000439B9">
        <w:rPr>
          <w:b/>
          <w:i/>
          <w:noProof/>
        </w:rPr>
        <w:t>Text of consolidated guidance document finalized</w:t>
      </w:r>
    </w:p>
    <w:p w14:paraId="18281CC7" w14:textId="357DDA63" w:rsidR="000439B9" w:rsidRPr="00FA74DC" w:rsidRDefault="00962BB4" w:rsidP="000439B9">
      <w:pPr>
        <w:pStyle w:val="Leaders"/>
      </w:pPr>
      <w:r>
        <w:rPr>
          <w:lang w:eastAsia="en-GB"/>
        </w:rPr>
        <w:t>Task</w:t>
      </w:r>
      <w:r w:rsidR="000439B9" w:rsidRPr="00B7395B">
        <w:rPr>
          <w:lang w:eastAsia="en-GB"/>
        </w:rPr>
        <w:t xml:space="preserve"> Co-Leads:  </w:t>
      </w:r>
      <w:r w:rsidR="000439B9">
        <w:t xml:space="preserve">Oenema (WUR, NL) and </w:t>
      </w:r>
      <w:r w:rsidR="00924FA7">
        <w:t>TBA</w:t>
      </w:r>
    </w:p>
    <w:p w14:paraId="55E4AC13" w14:textId="6ED4595B" w:rsidR="000439B9" w:rsidRDefault="00185A10" w:rsidP="00665EEE">
      <w:pPr>
        <w:rPr>
          <w:noProof/>
          <w:lang w:eastAsia="en-GB"/>
        </w:rPr>
      </w:pPr>
      <w:r>
        <w:rPr>
          <w:noProof/>
          <w:lang w:eastAsia="en-GB"/>
        </w:rPr>
        <w:t xml:space="preserve">It is anticipated that the process of review of the guidance document may need to be conducted in an iterative fashion.  This is because the timing of different stakeholder feedback may be hard to constrain into a narrow period of time (e.g. if other policy processes are operating on dfferent process timescales).  Nevertheless, a review period will be set in which partners of Towards INMS, stakeholders, and wider policy processes (listed above) will be </w:t>
      </w:r>
      <w:r w:rsidR="006C52F3">
        <w:rPr>
          <w:noProof/>
          <w:lang w:eastAsia="en-GB"/>
        </w:rPr>
        <w:t>invited to send their comments, so as to conduct the revision in a timely fashion. It will be noted where other policy processes are anticipated to provide planned further recommendations and inputs at a later stage, specifying which timing is anticipated and which process this links to.  This will be important to set the final document from this round (First edition of the UNEP/INMS Nitrogen Guidance) in context and anticipate in advance what future revisions will be necessary under future projects (after ‘Towards INMS’).</w:t>
      </w:r>
    </w:p>
    <w:p w14:paraId="1A3E8148" w14:textId="6AF26891" w:rsidR="006C52F3" w:rsidRDefault="006C52F3" w:rsidP="006C52F3">
      <w:pPr>
        <w:rPr>
          <w:noProof/>
        </w:rPr>
      </w:pPr>
      <w:r>
        <w:rPr>
          <w:noProof/>
        </w:rPr>
        <w:lastRenderedPageBreak/>
        <w:t xml:space="preserve">Any issues on difference of strategy or position will be referred to the PMB and SPAG for their advice, with the final document presented to the INMS GA for its adoption. </w:t>
      </w:r>
    </w:p>
    <w:p w14:paraId="5BB621DC" w14:textId="382FC987" w:rsidR="000439B9" w:rsidRPr="00B7395B" w:rsidRDefault="000439B9" w:rsidP="000439B9">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3</w:t>
      </w:r>
      <w:r w:rsidRPr="00B7395B">
        <w:rPr>
          <w:noProof/>
        </w:rPr>
        <w:t>.</w:t>
      </w:r>
      <w:r>
        <w:rPr>
          <w:noProof/>
        </w:rPr>
        <w:t>5</w:t>
      </w:r>
      <w:r w:rsidRPr="00B7395B">
        <w:rPr>
          <w:noProof/>
        </w:rPr>
        <w:t xml:space="preserve">:  </w:t>
      </w:r>
      <w:r w:rsidRPr="000439B9">
        <w:rPr>
          <w:noProof/>
        </w:rPr>
        <w:t>Publishing of synthesis doc</w:t>
      </w:r>
      <w:r w:rsidR="00F141BB">
        <w:rPr>
          <w:noProof/>
        </w:rPr>
        <w:t>ument</w:t>
      </w:r>
      <w:r w:rsidRPr="000439B9">
        <w:rPr>
          <w:noProof/>
        </w:rPr>
        <w:t xml:space="preserve"> &amp; updating of practice database</w:t>
      </w:r>
    </w:p>
    <w:p w14:paraId="753DCD09" w14:textId="1B1A469F" w:rsidR="000439B9" w:rsidRPr="00BB495F" w:rsidRDefault="000439B9" w:rsidP="000439B9">
      <w:pPr>
        <w:ind w:firstLine="720"/>
        <w:rPr>
          <w:b/>
          <w:i/>
          <w:noProof/>
        </w:rPr>
      </w:pPr>
      <w:r w:rsidRPr="00704FBC">
        <w:rPr>
          <w:b/>
          <w:i/>
          <w:noProof/>
        </w:rPr>
        <w:t xml:space="preserve">Task Output </w:t>
      </w:r>
      <w:r>
        <w:rPr>
          <w:b/>
          <w:i/>
          <w:noProof/>
        </w:rPr>
        <w:t>2</w:t>
      </w:r>
      <w:r w:rsidRPr="00704FBC">
        <w:rPr>
          <w:b/>
          <w:i/>
          <w:noProof/>
        </w:rPr>
        <w:t>.</w:t>
      </w:r>
      <w:r>
        <w:rPr>
          <w:b/>
          <w:i/>
          <w:noProof/>
        </w:rPr>
        <w:t>3</w:t>
      </w:r>
      <w:r w:rsidRPr="00704FBC">
        <w:rPr>
          <w:b/>
          <w:i/>
          <w:noProof/>
        </w:rPr>
        <w:t>.</w:t>
      </w:r>
      <w:r>
        <w:rPr>
          <w:b/>
          <w:i/>
          <w:noProof/>
        </w:rPr>
        <w:t>5</w:t>
      </w:r>
      <w:r w:rsidRPr="00704FBC">
        <w:rPr>
          <w:b/>
          <w:i/>
          <w:noProof/>
        </w:rPr>
        <w:t xml:space="preserve">: </w:t>
      </w:r>
      <w:r w:rsidRPr="000439B9">
        <w:rPr>
          <w:b/>
          <w:i/>
          <w:noProof/>
        </w:rPr>
        <w:t>Consolidated methods/practice report &amp; database published</w:t>
      </w:r>
    </w:p>
    <w:p w14:paraId="5EEFC37C" w14:textId="5B570F3E" w:rsidR="000439B9" w:rsidRPr="00FA74DC" w:rsidRDefault="00962BB4" w:rsidP="000439B9">
      <w:pPr>
        <w:pStyle w:val="Leaders"/>
      </w:pPr>
      <w:r>
        <w:rPr>
          <w:lang w:eastAsia="en-GB"/>
        </w:rPr>
        <w:t xml:space="preserve">Task </w:t>
      </w:r>
      <w:r w:rsidR="000439B9" w:rsidRPr="00B7395B">
        <w:rPr>
          <w:lang w:eastAsia="en-GB"/>
        </w:rPr>
        <w:t xml:space="preserve">Co-Leads:  </w:t>
      </w:r>
      <w:r w:rsidR="000439B9">
        <w:t xml:space="preserve">Oenema (WUR, NL) and </w:t>
      </w:r>
      <w:r w:rsidR="00924FA7">
        <w:t>TBA</w:t>
      </w:r>
    </w:p>
    <w:p w14:paraId="40AA2E11" w14:textId="4B0510AF" w:rsidR="000439B9" w:rsidRDefault="006C52F3" w:rsidP="00665EEE">
      <w:pPr>
        <w:rPr>
          <w:noProof/>
          <w:lang w:eastAsia="en-GB"/>
        </w:rPr>
      </w:pPr>
      <w:r>
        <w:rPr>
          <w:noProof/>
          <w:lang w:eastAsia="en-GB"/>
        </w:rPr>
        <w:t>It is anticipated to publish the resul</w:t>
      </w:r>
      <w:r w:rsidR="00F141BB">
        <w:rPr>
          <w:noProof/>
          <w:lang w:eastAsia="en-GB"/>
        </w:rPr>
        <w:t>t</w:t>
      </w:r>
      <w:r>
        <w:rPr>
          <w:noProof/>
          <w:lang w:eastAsia="en-GB"/>
        </w:rPr>
        <w:t>s of the guidance in two forms. Firstly, the main sy</w:t>
      </w:r>
      <w:r w:rsidR="00F141BB">
        <w:rPr>
          <w:noProof/>
          <w:lang w:eastAsia="en-GB"/>
        </w:rPr>
        <w:t>n</w:t>
      </w:r>
      <w:r>
        <w:rPr>
          <w:noProof/>
          <w:lang w:eastAsia="en-GB"/>
        </w:rPr>
        <w:t>thesis document will be pubished as a</w:t>
      </w:r>
      <w:r w:rsidR="00C4543F">
        <w:rPr>
          <w:noProof/>
          <w:lang w:eastAsia="en-GB"/>
        </w:rPr>
        <w:t xml:space="preserve"> key INMS output for wider disse</w:t>
      </w:r>
      <w:r>
        <w:rPr>
          <w:noProof/>
          <w:lang w:eastAsia="en-GB"/>
        </w:rPr>
        <w:t xml:space="preserve">mination. This will be supported with a publication budget managed under Activity 4.5.  Secondly, the material will be incorporated into </w:t>
      </w:r>
      <w:r w:rsidR="00924FA7">
        <w:rPr>
          <w:noProof/>
          <w:lang w:eastAsia="en-GB"/>
        </w:rPr>
        <w:t xml:space="preserve">the </w:t>
      </w:r>
      <w:r>
        <w:rPr>
          <w:noProof/>
          <w:lang w:eastAsia="en-GB"/>
        </w:rPr>
        <w:t xml:space="preserve">INMS database.  It is anticipated that this database will take as a starting point the Tool Box of measures developed under the GEF/UNEP GNC project. However, it may also be relevant to </w:t>
      </w:r>
      <w:r w:rsidR="00F141BB">
        <w:rPr>
          <w:noProof/>
          <w:lang w:eastAsia="en-GB"/>
        </w:rPr>
        <w:t>reap</w:t>
      </w:r>
      <w:r>
        <w:rPr>
          <w:noProof/>
          <w:lang w:eastAsia="en-GB"/>
        </w:rPr>
        <w:t xml:space="preserve"> the benefit</w:t>
      </w:r>
      <w:r w:rsidR="00CF0D31">
        <w:rPr>
          <w:noProof/>
          <w:lang w:eastAsia="en-GB"/>
        </w:rPr>
        <w:t>s</w:t>
      </w:r>
      <w:r>
        <w:rPr>
          <w:noProof/>
          <w:lang w:eastAsia="en-GB"/>
        </w:rPr>
        <w:t xml:space="preserve"> of other similar databases that are identified in the process of conducting Activity 2.3, especially in developing links though the emerging ‘nitrogen policy arena’ with different policy processes as users of the information. </w:t>
      </w:r>
    </w:p>
    <w:p w14:paraId="03AACDA0" w14:textId="77777777" w:rsidR="00B861EE" w:rsidRDefault="00B861EE" w:rsidP="007D7A4E">
      <w:r>
        <w:rPr>
          <w:noProof/>
          <w:lang w:eastAsia="en-GB"/>
        </w:rPr>
        <w:drawing>
          <wp:inline distT="0" distB="0" distL="0" distR="0" wp14:anchorId="55E8A8EE" wp14:editId="31ED039E">
            <wp:extent cx="5767070" cy="400972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tivity 2.3.png"/>
                    <pic:cNvPicPr/>
                  </pic:nvPicPr>
                  <pic:blipFill rotWithShape="1">
                    <a:blip r:embed="rId12" cstate="print">
                      <a:extLst>
                        <a:ext uri="{28A0092B-C50C-407E-A947-70E740481C1C}">
                          <a14:useLocalDpi xmlns:a14="http://schemas.microsoft.com/office/drawing/2010/main" val="0"/>
                        </a:ext>
                      </a:extLst>
                    </a:blip>
                    <a:srcRect t="8193"/>
                    <a:stretch/>
                  </pic:blipFill>
                  <pic:spPr bwMode="auto">
                    <a:xfrm>
                      <a:off x="0" y="0"/>
                      <a:ext cx="5767070" cy="4009721"/>
                    </a:xfrm>
                    <a:prstGeom prst="rect">
                      <a:avLst/>
                    </a:prstGeom>
                    <a:ln>
                      <a:noFill/>
                    </a:ln>
                    <a:extLst>
                      <a:ext uri="{53640926-AAD7-44D8-BBD7-CCE9431645EC}">
                        <a14:shadowObscured xmlns:a14="http://schemas.microsoft.com/office/drawing/2010/main"/>
                      </a:ext>
                    </a:extLst>
                  </pic:spPr>
                </pic:pic>
              </a:graphicData>
            </a:graphic>
          </wp:inline>
        </w:drawing>
      </w:r>
    </w:p>
    <w:p w14:paraId="5C90DD13" w14:textId="5A626838" w:rsidR="0047388B" w:rsidRDefault="0047388B" w:rsidP="0047388B">
      <w:pPr>
        <w:pStyle w:val="Caption"/>
        <w:rPr>
          <w:noProof/>
          <w:lang w:eastAsia="en-GB"/>
        </w:rPr>
      </w:pPr>
      <w:r w:rsidRPr="00B61BF6">
        <w:rPr>
          <w:b/>
          <w:noProof/>
          <w:lang w:eastAsia="en-GB"/>
        </w:rPr>
        <w:t>Figure A1</w:t>
      </w:r>
      <w:r>
        <w:rPr>
          <w:b/>
          <w:noProof/>
          <w:lang w:eastAsia="en-GB"/>
        </w:rPr>
        <w:t>6.3</w:t>
      </w:r>
      <w:r w:rsidRPr="00B61BF6">
        <w:rPr>
          <w:b/>
          <w:noProof/>
          <w:lang w:eastAsia="en-GB"/>
        </w:rPr>
        <w:t>:</w:t>
      </w:r>
      <w:r>
        <w:rPr>
          <w:noProof/>
          <w:lang w:eastAsia="en-GB"/>
        </w:rPr>
        <w:t xml:space="preserve"> Summary of Tasks and Task Outputs needed to reach the overall Output in relation </w:t>
      </w:r>
      <w:r w:rsidR="000B1EB3">
        <w:rPr>
          <w:noProof/>
          <w:lang w:eastAsia="en-GB"/>
        </w:rPr>
        <w:t xml:space="preserve">to </w:t>
      </w:r>
      <w:r w:rsidR="00061E4B">
        <w:rPr>
          <w:noProof/>
          <w:lang w:eastAsia="en-GB"/>
        </w:rPr>
        <w:t xml:space="preserve">integrating methods, measures and good practices to address issues of excess and insufficient reactive nitrogen </w:t>
      </w:r>
      <w:r>
        <w:rPr>
          <w:noProof/>
          <w:lang w:eastAsia="en-GB"/>
        </w:rPr>
        <w:t>(Activity 2.</w:t>
      </w:r>
      <w:r w:rsidR="000B1EB3">
        <w:rPr>
          <w:noProof/>
          <w:lang w:eastAsia="en-GB"/>
        </w:rPr>
        <w:t>3</w:t>
      </w:r>
      <w:r>
        <w:rPr>
          <w:noProof/>
          <w:lang w:eastAsia="en-GB"/>
        </w:rPr>
        <w:t>; Output 2.</w:t>
      </w:r>
      <w:r w:rsidR="000B1EB3">
        <w:rPr>
          <w:noProof/>
          <w:lang w:eastAsia="en-GB"/>
        </w:rPr>
        <w:t>3</w:t>
      </w:r>
      <w:r>
        <w:rPr>
          <w:noProof/>
          <w:lang w:eastAsia="en-GB"/>
        </w:rPr>
        <w:t xml:space="preserve">). </w:t>
      </w:r>
    </w:p>
    <w:p w14:paraId="75691D2A" w14:textId="77777777" w:rsidR="0047388B" w:rsidRDefault="0047388B" w:rsidP="007D7A4E"/>
    <w:p w14:paraId="339D4A9F" w14:textId="77777777" w:rsidR="00554257" w:rsidRDefault="00554257" w:rsidP="007D7A4E">
      <w:pPr>
        <w:rPr>
          <w:b/>
          <w:bCs/>
        </w:rPr>
      </w:pPr>
    </w:p>
    <w:p w14:paraId="24DA8BD3" w14:textId="77777777" w:rsidR="00E54FFB" w:rsidRDefault="00E54FFB" w:rsidP="00E54FFB">
      <w:pPr>
        <w:rPr>
          <w:noProof/>
          <w:lang w:eastAsia="en-GB"/>
        </w:rPr>
      </w:pPr>
    </w:p>
    <w:p w14:paraId="6F32DCAA" w14:textId="55212874" w:rsidR="00E54FFB" w:rsidRPr="00B7395B" w:rsidRDefault="00E54FFB" w:rsidP="00E54FFB">
      <w:pPr>
        <w:pStyle w:val="Heading3"/>
        <w:rPr>
          <w:noProof/>
        </w:rPr>
      </w:pPr>
      <w:bookmarkStart w:id="18" w:name="_Toc442303839"/>
      <w:r w:rsidRPr="00B7395B">
        <w:rPr>
          <w:noProof/>
          <w:lang w:eastAsia="en-GB"/>
        </w:rPr>
        <w:lastRenderedPageBreak/>
        <w:t xml:space="preserve">Activity </w:t>
      </w:r>
      <w:r>
        <w:rPr>
          <w:noProof/>
          <w:lang w:eastAsia="en-GB"/>
        </w:rPr>
        <w:t>2.4</w:t>
      </w:r>
      <w:r w:rsidRPr="00B7395B">
        <w:rPr>
          <w:noProof/>
          <w:lang w:eastAsia="en-GB"/>
        </w:rPr>
        <w:t xml:space="preserve">:  </w:t>
      </w:r>
      <w:r w:rsidRPr="00E54FFB">
        <w:rPr>
          <w:noProof/>
          <w:lang w:eastAsia="en-GB"/>
        </w:rPr>
        <w:t>Exploration of future N storylines &amp; scenarios with management/ mitigation options &amp; cost-benefit analysis</w:t>
      </w:r>
      <w:bookmarkEnd w:id="18"/>
    </w:p>
    <w:p w14:paraId="0D485CBF" w14:textId="240B20FA" w:rsidR="00E54FFB" w:rsidRPr="00440C28" w:rsidRDefault="00E54FFB" w:rsidP="00E54FFB">
      <w:pPr>
        <w:ind w:left="851"/>
        <w:rPr>
          <w:b/>
          <w:i/>
        </w:rPr>
      </w:pPr>
      <w:r w:rsidRPr="00440C28">
        <w:rPr>
          <w:b/>
          <w:i/>
        </w:rPr>
        <w:t xml:space="preserve">Output </w:t>
      </w:r>
      <w:r>
        <w:rPr>
          <w:b/>
          <w:i/>
        </w:rPr>
        <w:t>2</w:t>
      </w:r>
      <w:r w:rsidRPr="00440C28">
        <w:rPr>
          <w:b/>
          <w:i/>
        </w:rPr>
        <w:t>.</w:t>
      </w:r>
      <w:r>
        <w:rPr>
          <w:b/>
          <w:i/>
        </w:rPr>
        <w:t xml:space="preserve">4: </w:t>
      </w:r>
      <w:r w:rsidRPr="00E54FFB">
        <w:rPr>
          <w:b/>
          <w:i/>
        </w:rPr>
        <w:t>Definition of programmes &amp; policy options for improved</w:t>
      </w:r>
      <w:r w:rsidR="00FA1C2A">
        <w:rPr>
          <w:b/>
          <w:i/>
        </w:rPr>
        <w:t xml:space="preserve"> reactive nitrogen</w:t>
      </w:r>
      <w:r w:rsidRPr="00E54FFB">
        <w:rPr>
          <w:b/>
          <w:i/>
        </w:rPr>
        <w:t xml:space="preserve"> management at local/regional/global levels, supported by cost-benefit analysis to underpin options for the Green Economy</w:t>
      </w:r>
    </w:p>
    <w:p w14:paraId="2C1ACFF3" w14:textId="1BD213B7" w:rsidR="00E54FFB" w:rsidRPr="00FA74DC" w:rsidRDefault="00E54FFB" w:rsidP="00E54FFB">
      <w:pPr>
        <w:pStyle w:val="Leaders"/>
      </w:pPr>
      <w:r w:rsidRPr="00B7395B">
        <w:rPr>
          <w:lang w:eastAsia="en-GB"/>
        </w:rPr>
        <w:t xml:space="preserve">Activity Co-Leads:  </w:t>
      </w:r>
      <w:r>
        <w:rPr>
          <w:lang w:eastAsia="en-GB"/>
        </w:rPr>
        <w:t>INI Europe / TFRN (Winiwarter</w:t>
      </w:r>
      <w:r w:rsidR="004B2E10">
        <w:rPr>
          <w:lang w:eastAsia="en-GB"/>
        </w:rPr>
        <w:t>, IIASA</w:t>
      </w:r>
      <w:r>
        <w:rPr>
          <w:lang w:eastAsia="en-GB"/>
        </w:rPr>
        <w:t xml:space="preserve">) and </w:t>
      </w:r>
      <w:r>
        <w:t>INI North America</w:t>
      </w:r>
      <w:r w:rsidR="004B2E10">
        <w:t xml:space="preserve"> / SDSN (Kanter, New York University)</w:t>
      </w:r>
    </w:p>
    <w:p w14:paraId="27090E9A" w14:textId="2D2241E1" w:rsidR="00FA1C2A" w:rsidRDefault="00FA1C2A" w:rsidP="00FA1C2A">
      <w:pPr>
        <w:rPr>
          <w:noProof/>
          <w:lang w:eastAsia="en-GB"/>
        </w:rPr>
      </w:pPr>
      <w:r>
        <w:rPr>
          <w:noProof/>
          <w:lang w:eastAsia="en-GB"/>
        </w:rPr>
        <w:t xml:space="preserve">The purpose of this activity is to </w:t>
      </w:r>
      <w:r w:rsidR="00AE7108">
        <w:rPr>
          <w:noProof/>
          <w:lang w:eastAsia="en-GB"/>
        </w:rPr>
        <w:t xml:space="preserve">examine </w:t>
      </w:r>
      <w:r>
        <w:rPr>
          <w:noProof/>
          <w:lang w:eastAsia="en-GB"/>
        </w:rPr>
        <w:t xml:space="preserve">how the global nitrogen cycle may alter in the future and what the consequences of this future change would be.  For this purpose, broad storylines will be considered to frame possible futures, as well as specific scenarios of ‘what if’ considered. </w:t>
      </w:r>
    </w:p>
    <w:p w14:paraId="014A3706" w14:textId="03C18619" w:rsidR="005C702A" w:rsidRDefault="005C702A" w:rsidP="00FA1C2A">
      <w:pPr>
        <w:rPr>
          <w:noProof/>
          <w:lang w:eastAsia="en-GB"/>
        </w:rPr>
      </w:pPr>
      <w:r>
        <w:rPr>
          <w:noProof/>
          <w:lang w:eastAsia="en-GB"/>
        </w:rPr>
        <w:t>The starting point will be</w:t>
      </w:r>
      <w:r w:rsidR="00CF0D31">
        <w:rPr>
          <w:noProof/>
          <w:lang w:eastAsia="en-GB"/>
        </w:rPr>
        <w:t xml:space="preserve"> a</w:t>
      </w:r>
      <w:r>
        <w:rPr>
          <w:noProof/>
          <w:lang w:eastAsia="en-GB"/>
        </w:rPr>
        <w:t xml:space="preserve"> review of existing nitrogen policies for different regions and countries, examining what policies they have in place </w:t>
      </w:r>
      <w:r w:rsidR="00CF0D31">
        <w:rPr>
          <w:noProof/>
          <w:lang w:eastAsia="en-GB"/>
        </w:rPr>
        <w:t>and how</w:t>
      </w:r>
      <w:r>
        <w:rPr>
          <w:noProof/>
          <w:lang w:eastAsia="en-GB"/>
        </w:rPr>
        <w:t xml:space="preserve"> these link to the nitrogen cycle, the extent to wh</w:t>
      </w:r>
      <w:r w:rsidR="00CF0D31">
        <w:rPr>
          <w:noProof/>
          <w:lang w:eastAsia="en-GB"/>
        </w:rPr>
        <w:t>ich</w:t>
      </w:r>
      <w:r>
        <w:rPr>
          <w:noProof/>
          <w:lang w:eastAsia="en-GB"/>
        </w:rPr>
        <w:t xml:space="preserve"> synergies across the nitrogen cycle are addressed, and the extent of gaps.  This first task will serve a dual role to inform the storyline and scenario development, but also to inform the interaction with international policy processes in Component 4. </w:t>
      </w:r>
    </w:p>
    <w:p w14:paraId="735A468C" w14:textId="032B33DC" w:rsidR="000457A7" w:rsidRDefault="005C702A" w:rsidP="00FA1C2A">
      <w:pPr>
        <w:rPr>
          <w:noProof/>
          <w:lang w:eastAsia="en-GB"/>
        </w:rPr>
      </w:pPr>
      <w:r>
        <w:rPr>
          <w:noProof/>
          <w:lang w:eastAsia="en-GB"/>
        </w:rPr>
        <w:t xml:space="preserve">In considering possible future storylines, attention will be given to current thinking on storylines in other domains, including those from </w:t>
      </w:r>
      <w:r w:rsidR="001D72C1">
        <w:rPr>
          <w:noProof/>
          <w:lang w:eastAsia="en-GB"/>
        </w:rPr>
        <w:t xml:space="preserve">food production, </w:t>
      </w:r>
      <w:r>
        <w:rPr>
          <w:noProof/>
          <w:lang w:eastAsia="en-GB"/>
        </w:rPr>
        <w:t>climate, air, biodiversity and water communities. For example, the Special Report on Emission Scenarios</w:t>
      </w:r>
      <w:r w:rsidR="00AE7108">
        <w:rPr>
          <w:rStyle w:val="FootnoteReference"/>
          <w:noProof/>
          <w:lang w:eastAsia="en-GB"/>
        </w:rPr>
        <w:footnoteReference w:id="20"/>
      </w:r>
      <w:r>
        <w:rPr>
          <w:noProof/>
          <w:lang w:eastAsia="en-GB"/>
        </w:rPr>
        <w:t>, earlier used four main storylines (A1, B1, A2, B2) to characterize different possible futures, which subsequently informed the storylines of the Millenium Ecosystem Assessment</w:t>
      </w:r>
      <w:r w:rsidR="00AE7108">
        <w:rPr>
          <w:rStyle w:val="FootnoteReference"/>
          <w:noProof/>
          <w:lang w:eastAsia="en-GB"/>
        </w:rPr>
        <w:footnoteReference w:id="21"/>
      </w:r>
      <w:r>
        <w:rPr>
          <w:noProof/>
          <w:lang w:eastAsia="en-GB"/>
        </w:rPr>
        <w:t>. In turn, later work on climate has considered Representative Concentration Pathways (RCP, linked to a certain degree of radiative forcing)</w:t>
      </w:r>
      <w:r w:rsidR="00AE7108">
        <w:rPr>
          <w:rStyle w:val="FootnoteReference"/>
          <w:noProof/>
          <w:lang w:eastAsia="en-GB"/>
        </w:rPr>
        <w:footnoteReference w:id="22"/>
      </w:r>
      <w:r>
        <w:rPr>
          <w:noProof/>
          <w:lang w:eastAsia="en-GB"/>
        </w:rPr>
        <w:t xml:space="preserve"> and Shared Socioeconomic Pathways (SSP)</w:t>
      </w:r>
      <w:r w:rsidR="00AE7108">
        <w:rPr>
          <w:rStyle w:val="FootnoteReference"/>
          <w:noProof/>
          <w:lang w:eastAsia="en-GB"/>
        </w:rPr>
        <w:footnoteReference w:id="23"/>
      </w:r>
      <w:r>
        <w:rPr>
          <w:noProof/>
          <w:lang w:eastAsia="en-GB"/>
        </w:rPr>
        <w:t xml:space="preserve">.  </w:t>
      </w:r>
      <w:r w:rsidR="000457A7">
        <w:rPr>
          <w:noProof/>
          <w:lang w:eastAsia="en-GB"/>
        </w:rPr>
        <w:t>These examples will need to be considered in relation to scenario approaches used by the transboundary water and air pollution communities</w:t>
      </w:r>
      <w:r w:rsidR="006D77DC">
        <w:rPr>
          <w:noProof/>
          <w:lang w:eastAsia="en-GB"/>
        </w:rPr>
        <w:t xml:space="preserve"> and specifically their impact on nitrogen compounds</w:t>
      </w:r>
      <w:r w:rsidR="006D77DC">
        <w:rPr>
          <w:rStyle w:val="FootnoteReference"/>
          <w:noProof/>
          <w:lang w:eastAsia="en-GB"/>
        </w:rPr>
        <w:footnoteReference w:id="24"/>
      </w:r>
      <w:r w:rsidR="006D77DC" w:rsidRPr="006D77DC">
        <w:rPr>
          <w:noProof/>
          <w:vertAlign w:val="superscript"/>
          <w:lang w:eastAsia="en-GB"/>
        </w:rPr>
        <w:t>,</w:t>
      </w:r>
      <w:r w:rsidR="006D77DC">
        <w:rPr>
          <w:rStyle w:val="FootnoteReference"/>
          <w:noProof/>
          <w:lang w:eastAsia="en-GB"/>
        </w:rPr>
        <w:footnoteReference w:id="25"/>
      </w:r>
      <w:r w:rsidR="006D77DC" w:rsidRPr="006D77DC">
        <w:rPr>
          <w:noProof/>
          <w:vertAlign w:val="superscript"/>
          <w:lang w:eastAsia="en-GB"/>
        </w:rPr>
        <w:t>,</w:t>
      </w:r>
      <w:r w:rsidR="006D77DC">
        <w:rPr>
          <w:rStyle w:val="FootnoteReference"/>
          <w:noProof/>
          <w:lang w:eastAsia="en-GB"/>
        </w:rPr>
        <w:footnoteReference w:id="26"/>
      </w:r>
      <w:r w:rsidR="000457A7">
        <w:rPr>
          <w:noProof/>
          <w:lang w:eastAsia="en-GB"/>
        </w:rPr>
        <w:t>.  Similarly, an emerging narrative is that of ‘planetary boundaries’</w:t>
      </w:r>
      <w:r w:rsidR="006D77DC">
        <w:rPr>
          <w:rStyle w:val="FootnoteReference"/>
          <w:noProof/>
          <w:lang w:eastAsia="en-GB"/>
        </w:rPr>
        <w:footnoteReference w:id="27"/>
      </w:r>
      <w:r w:rsidR="006D77DC">
        <w:rPr>
          <w:noProof/>
          <w:lang w:eastAsia="en-GB"/>
        </w:rPr>
        <w:t>,</w:t>
      </w:r>
      <w:r w:rsidR="006D77DC">
        <w:rPr>
          <w:rStyle w:val="FootnoteReference"/>
          <w:noProof/>
          <w:lang w:eastAsia="en-GB"/>
        </w:rPr>
        <w:footnoteReference w:id="28"/>
      </w:r>
      <w:r w:rsidR="000457A7">
        <w:rPr>
          <w:noProof/>
          <w:lang w:eastAsia="en-GB"/>
        </w:rPr>
        <w:t>, and it will be examined to what exten</w:t>
      </w:r>
      <w:r w:rsidR="00CF0D31">
        <w:rPr>
          <w:noProof/>
          <w:lang w:eastAsia="en-GB"/>
        </w:rPr>
        <w:t>t</w:t>
      </w:r>
      <w:r w:rsidR="000457A7">
        <w:rPr>
          <w:noProof/>
          <w:lang w:eastAsia="en-GB"/>
        </w:rPr>
        <w:t xml:space="preserve"> this framing can be useful for analyzing the challenges of too much and too little nitrogen. </w:t>
      </w:r>
    </w:p>
    <w:p w14:paraId="1F663CAB" w14:textId="5E539731" w:rsidR="00556967" w:rsidRDefault="000457A7" w:rsidP="00FA1C2A">
      <w:pPr>
        <w:rPr>
          <w:noProof/>
          <w:lang w:eastAsia="en-GB"/>
        </w:rPr>
      </w:pPr>
      <w:r>
        <w:rPr>
          <w:noProof/>
          <w:lang w:eastAsia="en-GB"/>
        </w:rPr>
        <w:lastRenderedPageBreak/>
        <w:t xml:space="preserve">In considering future scenarios, the link will be made with what are often called ‘business as usual’ scenarios, considering how this relates to particular storyline development.  This may illustrate, what would happen if no active changes are made to the way nitrogen is managed in the world, i.e. the consequences of no action. This will be contrasted with what might be achieved by different actions, including through technical measures in different sectors and through societal changes. This first of these may include water and air pollution mitigation technologies (emission reduction focus) as well as strategies to improve nitrogen use efficiency (green and circular economy focus), as these are relevant in e.g. arable agriculture, livestock production, combustion processes and waste water treatment.  The second of these may include the effect of different future human populations, consumption choices related to the mix of food and energy types, and human choices on domestic waste.  While it will necessarily be impossible to address every interaction in detail, a key part of the work will be to identify a) which measures / actions offer the major opportunities for change (reducing adverse effects of N and improving the retention of </w:t>
      </w:r>
      <w:r w:rsidR="00556967">
        <w:rPr>
          <w:noProof/>
          <w:lang w:eastAsia="en-GB"/>
        </w:rPr>
        <w:t>N benefits) and b) how these may be be grouped into distinct classes of action, c) where there is potential for synergy across the nitrogen cycle (in cooperation with Activity 2.3) and d) what are the priority measures that need to be incorporated into global an</w:t>
      </w:r>
      <w:r w:rsidR="00CF0D31">
        <w:rPr>
          <w:noProof/>
          <w:lang w:eastAsia="en-GB"/>
        </w:rPr>
        <w:t>d</w:t>
      </w:r>
      <w:r w:rsidR="00556967">
        <w:rPr>
          <w:noProof/>
          <w:lang w:eastAsia="en-GB"/>
        </w:rPr>
        <w:t xml:space="preserve"> regional models describing scenarios of the future nitrogen cycle. </w:t>
      </w:r>
    </w:p>
    <w:p w14:paraId="624DD736" w14:textId="262EAD35" w:rsidR="000457A7" w:rsidRDefault="00556967" w:rsidP="00FA1C2A">
      <w:pPr>
        <w:rPr>
          <w:noProof/>
          <w:lang w:eastAsia="en-GB"/>
        </w:rPr>
      </w:pPr>
      <w:r>
        <w:rPr>
          <w:noProof/>
          <w:lang w:eastAsia="en-GB"/>
        </w:rPr>
        <w:t xml:space="preserve">It is anticipated that particular attention will be given to key future years, </w:t>
      </w:r>
      <w:r w:rsidR="00582F27">
        <w:rPr>
          <w:noProof/>
          <w:lang w:eastAsia="en-GB"/>
        </w:rPr>
        <w:t xml:space="preserve">such </w:t>
      </w:r>
      <w:r>
        <w:rPr>
          <w:noProof/>
          <w:lang w:eastAsia="en-GB"/>
        </w:rPr>
        <w:t xml:space="preserve">as 2050 and 2100.  However, the decision on how much to focus on these years or other years, will need to be made based on </w:t>
      </w:r>
      <w:r w:rsidR="00CF0D31">
        <w:rPr>
          <w:noProof/>
          <w:lang w:eastAsia="en-GB"/>
        </w:rPr>
        <w:t xml:space="preserve">the </w:t>
      </w:r>
      <w:r>
        <w:rPr>
          <w:noProof/>
          <w:lang w:eastAsia="en-GB"/>
        </w:rPr>
        <w:t xml:space="preserve">review of existing available scenarios from existing processes as these link to different aspects of the problem (e.g. climate, water, air, biodiversity) and the opportunity (e.g. food and energy supply). </w:t>
      </w:r>
      <w:r w:rsidR="000457A7">
        <w:rPr>
          <w:noProof/>
          <w:lang w:eastAsia="en-GB"/>
        </w:rPr>
        <w:t xml:space="preserve"> </w:t>
      </w:r>
      <w:r w:rsidR="001577AC">
        <w:rPr>
          <w:noProof/>
          <w:lang w:eastAsia="en-GB"/>
        </w:rPr>
        <w:t xml:space="preserve">  It is important to emphasise that these scenarios will need to consder both the benefits of nitrogen and the threats, and both areas with excess and insufficient reactive nitrogen.</w:t>
      </w:r>
    </w:p>
    <w:p w14:paraId="5FD7722E" w14:textId="67B787B1" w:rsidR="00556967" w:rsidRPr="001577AC" w:rsidRDefault="00556967" w:rsidP="00556967">
      <w:r w:rsidRPr="001577AC">
        <w:t xml:space="preserve">INMS partners who have proposed to contribute to this activity include:  IIASA, New York </w:t>
      </w:r>
      <w:r w:rsidR="00214583" w:rsidRPr="001577AC">
        <w:t xml:space="preserve">University </w:t>
      </w:r>
      <w:r w:rsidRPr="001577AC">
        <w:t xml:space="preserve">(US), </w:t>
      </w:r>
      <w:r w:rsidR="006A264D" w:rsidRPr="001577AC">
        <w:t xml:space="preserve">PIK </w:t>
      </w:r>
      <w:r w:rsidR="00102E5B" w:rsidRPr="001577AC">
        <w:t>(Denmark)</w:t>
      </w:r>
      <w:r w:rsidR="006A264D" w:rsidRPr="001577AC">
        <w:t xml:space="preserve">, </w:t>
      </w:r>
      <w:r w:rsidR="00214583" w:rsidRPr="001577AC">
        <w:t xml:space="preserve">PBL </w:t>
      </w:r>
      <w:r w:rsidR="00102E5B" w:rsidRPr="001577AC">
        <w:t>(The Netherlands)</w:t>
      </w:r>
      <w:r w:rsidR="00214583" w:rsidRPr="001577AC">
        <w:t xml:space="preserve">, </w:t>
      </w:r>
      <w:r w:rsidR="00397F53" w:rsidRPr="001577AC">
        <w:t xml:space="preserve">OECD, </w:t>
      </w:r>
      <w:r w:rsidR="001577AC" w:rsidRPr="001577AC">
        <w:t xml:space="preserve">FAO, </w:t>
      </w:r>
      <w:r w:rsidR="00397F53" w:rsidRPr="001577AC">
        <w:t xml:space="preserve">UNEP, CBD, UNECE, </w:t>
      </w:r>
      <w:r w:rsidR="00102E5B" w:rsidRPr="001577AC">
        <w:t>ZJU</w:t>
      </w:r>
      <w:r w:rsidR="00914036" w:rsidRPr="001577AC">
        <w:t xml:space="preserve"> </w:t>
      </w:r>
      <w:r w:rsidR="006A264D" w:rsidRPr="001577AC">
        <w:t>(China), WRI (US),</w:t>
      </w:r>
      <w:r w:rsidR="00214583" w:rsidRPr="001577AC">
        <w:t xml:space="preserve"> CARR (China),</w:t>
      </w:r>
      <w:r w:rsidR="006A264D" w:rsidRPr="001577AC">
        <w:t xml:space="preserve"> ECN </w:t>
      </w:r>
      <w:r w:rsidR="00102E5B" w:rsidRPr="001577AC">
        <w:t>(The Netherlands)</w:t>
      </w:r>
      <w:r w:rsidR="006A264D" w:rsidRPr="001577AC">
        <w:t xml:space="preserve">, </w:t>
      </w:r>
      <w:r w:rsidR="00102E5B" w:rsidRPr="001577AC">
        <w:t>UoY</w:t>
      </w:r>
      <w:r w:rsidR="00914036" w:rsidRPr="001577AC">
        <w:t xml:space="preserve"> </w:t>
      </w:r>
      <w:r w:rsidR="006A264D" w:rsidRPr="001577AC">
        <w:t xml:space="preserve">(UK), ADEME </w:t>
      </w:r>
      <w:r w:rsidR="00914036" w:rsidRPr="001577AC">
        <w:t>(France)</w:t>
      </w:r>
      <w:r w:rsidR="006A264D" w:rsidRPr="001577AC">
        <w:t xml:space="preserve">, </w:t>
      </w:r>
      <w:r w:rsidR="00102E5B" w:rsidRPr="001577AC">
        <w:t>AU ENV</w:t>
      </w:r>
      <w:r w:rsidR="00214583" w:rsidRPr="001577AC">
        <w:t xml:space="preserve"> </w:t>
      </w:r>
      <w:r w:rsidR="00914036" w:rsidRPr="001577AC">
        <w:t>(Denmark)</w:t>
      </w:r>
      <w:r w:rsidR="006A264D" w:rsidRPr="001577AC">
        <w:t xml:space="preserve">, </w:t>
      </w:r>
      <w:r w:rsidR="00214583" w:rsidRPr="001577AC">
        <w:t xml:space="preserve">ISA (PT), </w:t>
      </w:r>
      <w:r w:rsidR="00914036" w:rsidRPr="001577AC">
        <w:t>VU</w:t>
      </w:r>
      <w:r w:rsidR="00214583" w:rsidRPr="001577AC">
        <w:t xml:space="preserve"> </w:t>
      </w:r>
      <w:r w:rsidR="00102E5B" w:rsidRPr="001577AC">
        <w:t>(The Netherlands)</w:t>
      </w:r>
      <w:r w:rsidR="00214583" w:rsidRPr="001577AC">
        <w:t xml:space="preserve">, NERC (UK), </w:t>
      </w:r>
      <w:r w:rsidR="00914036" w:rsidRPr="001577AC">
        <w:t>JRC (EU)</w:t>
      </w:r>
      <w:r w:rsidR="00214583" w:rsidRPr="001577AC">
        <w:t>.</w:t>
      </w:r>
    </w:p>
    <w:p w14:paraId="674436B6" w14:textId="52C37338" w:rsidR="00556967" w:rsidRDefault="00556967" w:rsidP="00556967">
      <w:r>
        <w:t xml:space="preserve">The following </w:t>
      </w:r>
      <w:r w:rsidR="00214583">
        <w:t xml:space="preserve">propose to </w:t>
      </w:r>
      <w:r>
        <w:t xml:space="preserve">contribute advice and </w:t>
      </w:r>
      <w:r w:rsidR="00214583">
        <w:t xml:space="preserve">to act </w:t>
      </w:r>
      <w:r>
        <w:t xml:space="preserve">as reviewers: </w:t>
      </w:r>
      <w:r w:rsidR="00214583" w:rsidRPr="001C72AB">
        <w:t xml:space="preserve">INRA </w:t>
      </w:r>
      <w:r w:rsidR="000932F5">
        <w:t>(F</w:t>
      </w:r>
      <w:r w:rsidR="00914036">
        <w:t>rance</w:t>
      </w:r>
      <w:r w:rsidR="000932F5">
        <w:t>)</w:t>
      </w:r>
      <w:r w:rsidR="006A264D" w:rsidRPr="001C72AB">
        <w:t xml:space="preserve">, </w:t>
      </w:r>
      <w:r w:rsidR="00914036">
        <w:t xml:space="preserve">PCH (Spain), </w:t>
      </w:r>
      <w:r w:rsidR="00214583">
        <w:t xml:space="preserve">RIVM </w:t>
      </w:r>
      <w:r w:rsidR="00102E5B">
        <w:t>(The Netherlands)</w:t>
      </w:r>
      <w:r w:rsidR="001577AC">
        <w:t xml:space="preserve">, </w:t>
      </w:r>
      <w:r w:rsidR="00214583" w:rsidRPr="001C72AB">
        <w:t>IFA.</w:t>
      </w:r>
    </w:p>
    <w:p w14:paraId="18CF5F0C" w14:textId="40923D33" w:rsidR="00E54FFB" w:rsidRPr="00B7395B" w:rsidRDefault="00E54FFB" w:rsidP="00E54FFB">
      <w:pPr>
        <w:pStyle w:val="Heading4"/>
        <w:numPr>
          <w:ilvl w:val="0"/>
          <w:numId w:val="0"/>
        </w:numPr>
        <w:ind w:left="864" w:hanging="864"/>
        <w:rPr>
          <w:noProof/>
        </w:rPr>
      </w:pPr>
      <w:r w:rsidRPr="00B7395B">
        <w:rPr>
          <w:noProof/>
        </w:rPr>
        <w:t xml:space="preserve">Task </w:t>
      </w:r>
      <w:r>
        <w:rPr>
          <w:noProof/>
        </w:rPr>
        <w:t>2</w:t>
      </w:r>
      <w:r w:rsidRPr="00B7395B">
        <w:rPr>
          <w:noProof/>
        </w:rPr>
        <w:t>.</w:t>
      </w:r>
      <w:r w:rsidR="004B2E10">
        <w:rPr>
          <w:noProof/>
        </w:rPr>
        <w:t>4</w:t>
      </w:r>
      <w:r w:rsidRPr="00B7395B">
        <w:rPr>
          <w:noProof/>
        </w:rPr>
        <w:t>.</w:t>
      </w:r>
      <w:r>
        <w:rPr>
          <w:noProof/>
        </w:rPr>
        <w:t>1</w:t>
      </w:r>
      <w:r w:rsidRPr="00B7395B">
        <w:rPr>
          <w:noProof/>
        </w:rPr>
        <w:t xml:space="preserve">:  </w:t>
      </w:r>
      <w:r w:rsidR="004B2E10" w:rsidRPr="004B2E10">
        <w:rPr>
          <w:noProof/>
        </w:rPr>
        <w:t>Review of existing N policies for different countries &amp; regions</w:t>
      </w:r>
    </w:p>
    <w:p w14:paraId="667E0B00" w14:textId="47223C5C" w:rsidR="00E54FFB" w:rsidRPr="00BB495F" w:rsidRDefault="00E54FFB" w:rsidP="00E54FFB">
      <w:pPr>
        <w:ind w:firstLine="720"/>
        <w:rPr>
          <w:b/>
          <w:i/>
          <w:noProof/>
        </w:rPr>
      </w:pPr>
      <w:r w:rsidRPr="00704FBC">
        <w:rPr>
          <w:b/>
          <w:i/>
          <w:noProof/>
        </w:rPr>
        <w:t xml:space="preserve">Task Output </w:t>
      </w:r>
      <w:r>
        <w:rPr>
          <w:b/>
          <w:i/>
          <w:noProof/>
        </w:rPr>
        <w:t>2</w:t>
      </w:r>
      <w:r w:rsidRPr="00704FBC">
        <w:rPr>
          <w:b/>
          <w:i/>
          <w:noProof/>
        </w:rPr>
        <w:t>.</w:t>
      </w:r>
      <w:r w:rsidR="004B2E10">
        <w:rPr>
          <w:b/>
          <w:i/>
          <w:noProof/>
        </w:rPr>
        <w:t>4</w:t>
      </w:r>
      <w:r w:rsidRPr="00704FBC">
        <w:rPr>
          <w:b/>
          <w:i/>
          <w:noProof/>
        </w:rPr>
        <w:t>.</w:t>
      </w:r>
      <w:r>
        <w:rPr>
          <w:b/>
          <w:i/>
          <w:noProof/>
        </w:rPr>
        <w:t>1</w:t>
      </w:r>
      <w:r w:rsidRPr="00704FBC">
        <w:rPr>
          <w:b/>
          <w:i/>
          <w:noProof/>
        </w:rPr>
        <w:t xml:space="preserve">: </w:t>
      </w:r>
      <w:r w:rsidR="004B2E10" w:rsidRPr="004B2E10">
        <w:rPr>
          <w:b/>
          <w:i/>
          <w:noProof/>
        </w:rPr>
        <w:t>Report with database as input to workshop on N policies, storylines &amp; scenarios</w:t>
      </w:r>
    </w:p>
    <w:p w14:paraId="0C78EF52" w14:textId="207E2E81" w:rsidR="00E54FFB" w:rsidRDefault="00962BB4" w:rsidP="00E54FFB">
      <w:pPr>
        <w:pStyle w:val="Leaders"/>
        <w:rPr>
          <w:lang w:eastAsia="en-GB"/>
        </w:rPr>
      </w:pPr>
      <w:r>
        <w:rPr>
          <w:lang w:eastAsia="en-GB"/>
        </w:rPr>
        <w:t>Task</w:t>
      </w:r>
      <w:r w:rsidR="004B2E10">
        <w:rPr>
          <w:lang w:eastAsia="en-GB"/>
        </w:rPr>
        <w:t xml:space="preserve"> Co-Leads: Bonnis (OECD), Kanter (New York Univesity) </w:t>
      </w:r>
    </w:p>
    <w:p w14:paraId="7E08C5E7" w14:textId="1B5E742F" w:rsidR="004B2E10" w:rsidRDefault="00397F53" w:rsidP="00214583">
      <w:r>
        <w:t>This task will serve to</w:t>
      </w:r>
      <w:r w:rsidR="000722A6">
        <w:t xml:space="preserve"> bring together information on policies linked to nitrogen in different regions and globally.  For this purpose the work will connect directly with the policy initiatives of countries, engaging closely with the programme in this area of OECD, but also extending this to other key INMS countries beyond OECD.  To do this, the policy review approach questionnaire of OECD will be reviewed at the start of the project, and modified as necessary considering other regional/national needs. This will then be shared with partners in the INMS Regional demonstrations to support their engagement with national governments and regional environmental agreements. The collected information will be used firstly to create a simple database, allowing others subsequently to add information, which will be developed in partnership with the PCU.  Secondly and more importantly the information will be synthesized to provide a better understanding of the gaps in policies, extent of synergies and trade-offs, and to explore possible routes by which a stronger gravity for action can be developed by joining up across the nitrogen cycle. </w:t>
      </w:r>
    </w:p>
    <w:p w14:paraId="4572F0B9" w14:textId="0502B245" w:rsidR="00214583" w:rsidRDefault="000722A6" w:rsidP="00214583">
      <w:r>
        <w:lastRenderedPageBreak/>
        <w:t xml:space="preserve">The first review will feed as a background document to the INMS workshop on storylines and scenarios, which will then inform the next steps on priority for this work.  Depending on the acquisition of additional external resources this work may be extended to consider how the planetary boundary approach could be more closely linked into future policy development for nitrogen. </w:t>
      </w:r>
    </w:p>
    <w:p w14:paraId="7F2E13A9" w14:textId="7AE2495F" w:rsidR="000E0F7F" w:rsidRPr="00FA74DC" w:rsidRDefault="000E0F7F" w:rsidP="00214583">
      <w:r>
        <w:t>Depending on the availability of additional resources, this task may also go further in analysing the experience of different pol</w:t>
      </w:r>
      <w:r w:rsidR="00861050">
        <w:t xml:space="preserve">icy instruments linked to nitrogen. The starting point will be information collected from the country case studies, which can then be used to synthesize information on the opportunities, strengths, limitations, etc, of different policy instruments. </w:t>
      </w:r>
    </w:p>
    <w:p w14:paraId="1F95D495" w14:textId="3B9B15EC" w:rsidR="004B2E10" w:rsidRPr="00B7395B" w:rsidRDefault="004B2E10" w:rsidP="004B2E10">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4</w:t>
      </w:r>
      <w:r w:rsidRPr="00B7395B">
        <w:rPr>
          <w:noProof/>
        </w:rPr>
        <w:t>.</w:t>
      </w:r>
      <w:r>
        <w:rPr>
          <w:noProof/>
        </w:rPr>
        <w:t>2</w:t>
      </w:r>
      <w:r w:rsidRPr="00B7395B">
        <w:rPr>
          <w:noProof/>
        </w:rPr>
        <w:t xml:space="preserve">:  </w:t>
      </w:r>
      <w:r w:rsidRPr="004B2E10">
        <w:rPr>
          <w:noProof/>
        </w:rPr>
        <w:t>Review of existing storylines and scenarios relevant for N</w:t>
      </w:r>
    </w:p>
    <w:p w14:paraId="52091B6A" w14:textId="47063614" w:rsidR="004B2E10" w:rsidRPr="00BB495F" w:rsidRDefault="004B2E10" w:rsidP="004B2E10">
      <w:pPr>
        <w:ind w:firstLine="720"/>
        <w:rPr>
          <w:b/>
          <w:i/>
          <w:noProof/>
        </w:rPr>
      </w:pPr>
      <w:r w:rsidRPr="00704FBC">
        <w:rPr>
          <w:b/>
          <w:i/>
          <w:noProof/>
        </w:rPr>
        <w:t xml:space="preserve">Task Output </w:t>
      </w:r>
      <w:r>
        <w:rPr>
          <w:b/>
          <w:i/>
          <w:noProof/>
        </w:rPr>
        <w:t>2</w:t>
      </w:r>
      <w:r w:rsidRPr="00704FBC">
        <w:rPr>
          <w:b/>
          <w:i/>
          <w:noProof/>
        </w:rPr>
        <w:t>.</w:t>
      </w:r>
      <w:r>
        <w:rPr>
          <w:b/>
          <w:i/>
          <w:noProof/>
        </w:rPr>
        <w:t>4</w:t>
      </w:r>
      <w:r w:rsidRPr="00704FBC">
        <w:rPr>
          <w:b/>
          <w:i/>
          <w:noProof/>
        </w:rPr>
        <w:t>.</w:t>
      </w:r>
      <w:r>
        <w:rPr>
          <w:b/>
          <w:i/>
          <w:noProof/>
        </w:rPr>
        <w:t>2</w:t>
      </w:r>
      <w:r w:rsidRPr="00704FBC">
        <w:rPr>
          <w:b/>
          <w:i/>
          <w:noProof/>
        </w:rPr>
        <w:t xml:space="preserve">: </w:t>
      </w:r>
      <w:r w:rsidRPr="004B2E10">
        <w:rPr>
          <w:b/>
          <w:i/>
          <w:noProof/>
        </w:rPr>
        <w:t>Doc</w:t>
      </w:r>
      <w:r w:rsidR="00EC65FD">
        <w:rPr>
          <w:b/>
          <w:i/>
          <w:noProof/>
        </w:rPr>
        <w:t xml:space="preserve">ument </w:t>
      </w:r>
      <w:r w:rsidRPr="004B2E10">
        <w:rPr>
          <w:b/>
          <w:i/>
          <w:noProof/>
        </w:rPr>
        <w:t>as input to workshop on N policies &amp; scenarios</w:t>
      </w:r>
    </w:p>
    <w:p w14:paraId="426D8FB1" w14:textId="2F281585" w:rsidR="004B2E10" w:rsidRDefault="00962BB4" w:rsidP="004B2E10">
      <w:pPr>
        <w:pStyle w:val="Leaders"/>
        <w:rPr>
          <w:lang w:eastAsia="en-GB"/>
        </w:rPr>
      </w:pPr>
      <w:r>
        <w:rPr>
          <w:lang w:eastAsia="en-GB"/>
        </w:rPr>
        <w:t xml:space="preserve">Task </w:t>
      </w:r>
      <w:r w:rsidR="004B2E10">
        <w:rPr>
          <w:lang w:eastAsia="en-GB"/>
        </w:rPr>
        <w:t>Co-Leads: Winiwarter (IIASA) and Kanter (New York Unive</w:t>
      </w:r>
      <w:r w:rsidR="00E91955">
        <w:rPr>
          <w:lang w:eastAsia="en-GB"/>
        </w:rPr>
        <w:t>r</w:t>
      </w:r>
      <w:r w:rsidR="004B2E10">
        <w:rPr>
          <w:lang w:eastAsia="en-GB"/>
        </w:rPr>
        <w:t>sity)</w:t>
      </w:r>
    </w:p>
    <w:p w14:paraId="70B3A454" w14:textId="69DF4D99" w:rsidR="004B2E10" w:rsidRDefault="006E520C" w:rsidP="006E520C">
      <w:pPr>
        <w:rPr>
          <w:lang w:eastAsia="en-GB"/>
        </w:rPr>
      </w:pPr>
      <w:r>
        <w:rPr>
          <w:lang w:eastAsia="en-GB"/>
        </w:rPr>
        <w:t>This task will provide the basis to prepare for a workshop that brings together different views on storylines and scenarios for nitrogen in relation to its multiple benefits (food, fibre, energy etc) and threats (water, air, greenhouse balance, ecosystems, soils etc), linking environment and health issues. The background document will seek to bring together the current status of different existing approaches to nitrogen scenario development on both regional and global scales. This dual focus is important given the multi-scale relevance of nitrogen, which links local and regional issues (e.g. water quality, air quality, biodiversity) with global issues (climate, trade, barriers, economy etc).</w:t>
      </w:r>
    </w:p>
    <w:p w14:paraId="0DECEBD1" w14:textId="674AB1EA" w:rsidR="00E91955" w:rsidRDefault="00E91955" w:rsidP="006E520C">
      <w:pPr>
        <w:rPr>
          <w:lang w:eastAsia="en-GB"/>
        </w:rPr>
      </w:pPr>
      <w:r>
        <w:rPr>
          <w:lang w:eastAsia="en-GB"/>
        </w:rPr>
        <w:t xml:space="preserve">In preparing the background document, an initial compilation of existing scenario approaches and storylines will be shared with the contributors to Activity 2.4 in order to broaden the scope, integrate different aspects of individual focal areas and stakeholder groups and interests. </w:t>
      </w:r>
      <w:r w:rsidR="00974841">
        <w:rPr>
          <w:lang w:eastAsia="en-GB"/>
        </w:rPr>
        <w:t>At the same time, this allows dissemination of status information within the community in an early project phase. Specific contributors may be invited to provide elements of the background document once its scope has been defined as part of the initial compilation.</w:t>
      </w:r>
    </w:p>
    <w:p w14:paraId="551F6440" w14:textId="77777777" w:rsidR="00E91955" w:rsidRDefault="00E91955" w:rsidP="006E520C">
      <w:pPr>
        <w:rPr>
          <w:lang w:eastAsia="en-GB"/>
        </w:rPr>
      </w:pPr>
    </w:p>
    <w:p w14:paraId="0E12A86A" w14:textId="5C5F7FF7" w:rsidR="004B2E10" w:rsidRPr="00B7395B" w:rsidRDefault="004B2E10" w:rsidP="004B2E10">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4</w:t>
      </w:r>
      <w:r w:rsidRPr="00B7395B">
        <w:rPr>
          <w:noProof/>
        </w:rPr>
        <w:t>.</w:t>
      </w:r>
      <w:r>
        <w:rPr>
          <w:noProof/>
        </w:rPr>
        <w:t>3</w:t>
      </w:r>
      <w:r w:rsidRPr="00B7395B">
        <w:rPr>
          <w:noProof/>
        </w:rPr>
        <w:t xml:space="preserve">:  </w:t>
      </w:r>
      <w:r w:rsidRPr="004B2E10">
        <w:rPr>
          <w:noProof/>
        </w:rPr>
        <w:t xml:space="preserve">Workshop on N storylines </w:t>
      </w:r>
      <w:r w:rsidR="000A3525">
        <w:rPr>
          <w:noProof/>
        </w:rPr>
        <w:t>and</w:t>
      </w:r>
      <w:r w:rsidRPr="004B2E10">
        <w:rPr>
          <w:noProof/>
        </w:rPr>
        <w:t xml:space="preserve"> s</w:t>
      </w:r>
      <w:r w:rsidR="000A3525">
        <w:rPr>
          <w:noProof/>
        </w:rPr>
        <w:t xml:space="preserve">cenarios for shared use across </w:t>
      </w:r>
      <w:r w:rsidRPr="004B2E10">
        <w:rPr>
          <w:noProof/>
        </w:rPr>
        <w:t>the project</w:t>
      </w:r>
    </w:p>
    <w:p w14:paraId="7CD3A819" w14:textId="752D6C87" w:rsidR="004B2E10" w:rsidRPr="00BB495F" w:rsidRDefault="004B2E10" w:rsidP="004B2E10">
      <w:pPr>
        <w:ind w:firstLine="720"/>
        <w:rPr>
          <w:b/>
          <w:i/>
          <w:noProof/>
        </w:rPr>
      </w:pPr>
      <w:r w:rsidRPr="00704FBC">
        <w:rPr>
          <w:b/>
          <w:i/>
          <w:noProof/>
        </w:rPr>
        <w:t xml:space="preserve">Task Output </w:t>
      </w:r>
      <w:r>
        <w:rPr>
          <w:b/>
          <w:i/>
          <w:noProof/>
        </w:rPr>
        <w:t>2</w:t>
      </w:r>
      <w:r w:rsidRPr="00704FBC">
        <w:rPr>
          <w:b/>
          <w:i/>
          <w:noProof/>
        </w:rPr>
        <w:t>.</w:t>
      </w:r>
      <w:r>
        <w:rPr>
          <w:b/>
          <w:i/>
          <w:noProof/>
        </w:rPr>
        <w:t>4</w:t>
      </w:r>
      <w:r w:rsidRPr="00704FBC">
        <w:rPr>
          <w:b/>
          <w:i/>
          <w:noProof/>
        </w:rPr>
        <w:t>.</w:t>
      </w:r>
      <w:r>
        <w:rPr>
          <w:b/>
          <w:i/>
          <w:noProof/>
        </w:rPr>
        <w:t>3</w:t>
      </w:r>
      <w:r w:rsidRPr="00704FBC">
        <w:rPr>
          <w:b/>
          <w:i/>
          <w:noProof/>
        </w:rPr>
        <w:t xml:space="preserve">: </w:t>
      </w:r>
      <w:r w:rsidRPr="004B2E10">
        <w:rPr>
          <w:b/>
          <w:i/>
          <w:noProof/>
        </w:rPr>
        <w:t>Published strategy for N storylines and scenarios</w:t>
      </w:r>
    </w:p>
    <w:p w14:paraId="6C512918" w14:textId="2F1E434B" w:rsidR="004B2E10" w:rsidRDefault="00962BB4" w:rsidP="004B2E10">
      <w:pPr>
        <w:pStyle w:val="Leaders"/>
        <w:rPr>
          <w:lang w:eastAsia="en-GB"/>
        </w:rPr>
      </w:pPr>
      <w:r>
        <w:rPr>
          <w:lang w:eastAsia="en-GB"/>
        </w:rPr>
        <w:t>Task</w:t>
      </w:r>
      <w:r w:rsidR="004B2E10">
        <w:rPr>
          <w:lang w:eastAsia="en-GB"/>
        </w:rPr>
        <w:t xml:space="preserve"> Co-Leads: Winiwarter (IIASA) and Kanter (New York Univesity)</w:t>
      </w:r>
    </w:p>
    <w:p w14:paraId="393F7976" w14:textId="47DC16C1" w:rsidR="006E520C" w:rsidRDefault="006E520C" w:rsidP="006E520C">
      <w:pPr>
        <w:rPr>
          <w:lang w:eastAsia="en-GB"/>
        </w:rPr>
      </w:pPr>
      <w:r>
        <w:rPr>
          <w:lang w:eastAsia="en-GB"/>
        </w:rPr>
        <w:t xml:space="preserve">The focus on this workshop will be to bring together those with expertise and current involvement in developing and applying future storylines and scenarios for nitrogen, while coming from many different perspectives. It is anticipated to include the latest thinking on scenarios linking nitrogen to climate (with links to current IPCC scenarios development, e.g. SRES, SSP and future), to air quality (e.g. LRTAP, US, EU, China, India scenarios), to water quality (scenarios from regional seas / waters conventions and programmes, including Black Sea, Baltic Sea (HELCOM), Mediterranean, East China Sea (PEMSEA), UNECE Transboundary Waters Convention, </w:t>
      </w:r>
      <w:r w:rsidR="00102E5B">
        <w:rPr>
          <w:lang w:eastAsia="en-GB"/>
        </w:rPr>
        <w:t>LVBC</w:t>
      </w:r>
      <w:r>
        <w:rPr>
          <w:lang w:eastAsia="en-GB"/>
        </w:rPr>
        <w:t xml:space="preserve">, La Plata River Basin Commission.  Subject to </w:t>
      </w:r>
      <w:r w:rsidR="00010918">
        <w:rPr>
          <w:lang w:eastAsia="en-GB"/>
        </w:rPr>
        <w:t xml:space="preserve">further discussion </w:t>
      </w:r>
      <w:r>
        <w:rPr>
          <w:lang w:eastAsia="en-GB"/>
        </w:rPr>
        <w:t xml:space="preserve">and external resources </w:t>
      </w:r>
      <w:r w:rsidR="00010918">
        <w:rPr>
          <w:lang w:eastAsia="en-GB"/>
        </w:rPr>
        <w:t xml:space="preserve">it may also be possible </w:t>
      </w:r>
      <w:r>
        <w:rPr>
          <w:lang w:eastAsia="en-GB"/>
        </w:rPr>
        <w:t>involve also the Gulf of</w:t>
      </w:r>
      <w:r w:rsidR="00010918">
        <w:rPr>
          <w:lang w:eastAsia="en-GB"/>
        </w:rPr>
        <w:t xml:space="preserve"> Mexic</w:t>
      </w:r>
      <w:r w:rsidR="00CF0D31">
        <w:rPr>
          <w:lang w:eastAsia="en-GB"/>
        </w:rPr>
        <w:t>o</w:t>
      </w:r>
      <w:r w:rsidR="00010918">
        <w:rPr>
          <w:lang w:eastAsia="en-GB"/>
        </w:rPr>
        <w:t xml:space="preserve"> (Cartagena Convention).</w:t>
      </w:r>
    </w:p>
    <w:p w14:paraId="7C779500" w14:textId="6161CFCA" w:rsidR="000E0F7F" w:rsidRDefault="000E0F7F" w:rsidP="006E520C">
      <w:pPr>
        <w:rPr>
          <w:lang w:eastAsia="en-GB"/>
        </w:rPr>
      </w:pPr>
      <w:r>
        <w:rPr>
          <w:lang w:eastAsia="en-GB"/>
        </w:rPr>
        <w:t>In bringing the science and policy communities together for nitrogen, a vision will be developed for  how synergies can be identified in future scenario development.  The draft document will be reviewed by the P</w:t>
      </w:r>
      <w:r w:rsidR="001577AC">
        <w:rPr>
          <w:lang w:eastAsia="en-GB"/>
        </w:rPr>
        <w:t>roject Management Board (P</w:t>
      </w:r>
      <w:r>
        <w:rPr>
          <w:lang w:eastAsia="en-GB"/>
        </w:rPr>
        <w:t>MB</w:t>
      </w:r>
      <w:r w:rsidR="001577AC">
        <w:rPr>
          <w:lang w:eastAsia="en-GB"/>
        </w:rPr>
        <w:t>)</w:t>
      </w:r>
      <w:r>
        <w:rPr>
          <w:lang w:eastAsia="en-GB"/>
        </w:rPr>
        <w:t xml:space="preserve"> and </w:t>
      </w:r>
      <w:r w:rsidR="001577AC">
        <w:rPr>
          <w:lang w:eastAsia="en-GB"/>
        </w:rPr>
        <w:t xml:space="preserve">the </w:t>
      </w:r>
      <w:r>
        <w:rPr>
          <w:lang w:eastAsia="en-GB"/>
        </w:rPr>
        <w:t>S</w:t>
      </w:r>
      <w:r w:rsidR="001577AC">
        <w:rPr>
          <w:lang w:eastAsia="en-GB"/>
        </w:rPr>
        <w:t xml:space="preserve">takeholder and </w:t>
      </w:r>
      <w:r>
        <w:rPr>
          <w:lang w:eastAsia="en-GB"/>
        </w:rPr>
        <w:t>P</w:t>
      </w:r>
      <w:r w:rsidR="001577AC">
        <w:rPr>
          <w:lang w:eastAsia="en-GB"/>
        </w:rPr>
        <w:t xml:space="preserve">olicy Advisory Group (SPAG) </w:t>
      </w:r>
      <w:r>
        <w:rPr>
          <w:lang w:eastAsia="en-GB"/>
        </w:rPr>
        <w:t xml:space="preserve">for adoption by the </w:t>
      </w:r>
      <w:r w:rsidR="00CF0D31">
        <w:rPr>
          <w:lang w:eastAsia="en-GB"/>
        </w:rPr>
        <w:t>General Assembly</w:t>
      </w:r>
      <w:r w:rsidR="001577AC">
        <w:rPr>
          <w:lang w:eastAsia="en-GB"/>
        </w:rPr>
        <w:t xml:space="preserve"> (GA)</w:t>
      </w:r>
      <w:r>
        <w:rPr>
          <w:lang w:eastAsia="en-GB"/>
        </w:rPr>
        <w:t xml:space="preserve">, leading to the publishing of an INMS nitrogen scenarios strategy.  This strategy will include among points, clear recommendations on the issues </w:t>
      </w:r>
      <w:r>
        <w:rPr>
          <w:lang w:eastAsia="en-GB"/>
        </w:rPr>
        <w:lastRenderedPageBreak/>
        <w:t>that need to be addressed in nitrogen strategies, the benefits from considering different nitrogen-related issues together in future strategies, and list of priorities for capability that needs to be included in models to address the most important future options (e.g. types of management and mitigation action in different sectors, opportunities related to food and energy choices etc.)</w:t>
      </w:r>
    </w:p>
    <w:p w14:paraId="002E5F82" w14:textId="3F9AD374" w:rsidR="004B2E10" w:rsidRDefault="000E0F7F" w:rsidP="00E54FFB">
      <w:pPr>
        <w:rPr>
          <w:lang w:eastAsia="en-GB"/>
        </w:rPr>
      </w:pPr>
      <w:r>
        <w:rPr>
          <w:lang w:eastAsia="en-GB"/>
        </w:rPr>
        <w:t>Drawing especially on Activities 1.4 (cost benefit analysis), 1.6 (barriers to change) and 2.3 (technical options and measures)</w:t>
      </w:r>
      <w:r w:rsidR="00861050">
        <w:rPr>
          <w:lang w:eastAsia="en-GB"/>
        </w:rPr>
        <w:t xml:space="preserve">, this Task will work with Activity 1.5 and 2.1 to </w:t>
      </w:r>
      <w:r w:rsidR="004E2CCE">
        <w:rPr>
          <w:lang w:eastAsia="en-GB"/>
        </w:rPr>
        <w:t>generate</w:t>
      </w:r>
      <w:r w:rsidR="00861050">
        <w:rPr>
          <w:lang w:eastAsia="en-GB"/>
        </w:rPr>
        <w:t xml:space="preserve"> the agreed scenarios that will be used in the simulations of the INMS modelling cluster. </w:t>
      </w:r>
    </w:p>
    <w:p w14:paraId="4CDAEDA3" w14:textId="77777777" w:rsidR="00861050" w:rsidRDefault="00861050" w:rsidP="00E54FFB">
      <w:pPr>
        <w:rPr>
          <w:noProof/>
          <w:lang w:eastAsia="en-GB"/>
        </w:rPr>
      </w:pPr>
    </w:p>
    <w:p w14:paraId="76ED0565" w14:textId="08EB57F7" w:rsidR="004B2E10" w:rsidRPr="00B7395B" w:rsidRDefault="004B2E10" w:rsidP="004B2E10">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4</w:t>
      </w:r>
      <w:r w:rsidRPr="00B7395B">
        <w:rPr>
          <w:noProof/>
        </w:rPr>
        <w:t>.</w:t>
      </w:r>
      <w:r>
        <w:rPr>
          <w:noProof/>
        </w:rPr>
        <w:t>4</w:t>
      </w:r>
      <w:r w:rsidRPr="00B7395B">
        <w:rPr>
          <w:noProof/>
        </w:rPr>
        <w:t xml:space="preserve">:  </w:t>
      </w:r>
      <w:r w:rsidRPr="004B2E10">
        <w:rPr>
          <w:noProof/>
        </w:rPr>
        <w:t xml:space="preserve">Synthesis of future programmes and policy options supported by </w:t>
      </w:r>
      <w:r w:rsidR="00974841">
        <w:rPr>
          <w:noProof/>
        </w:rPr>
        <w:t xml:space="preserve">scenario development and </w:t>
      </w:r>
      <w:r w:rsidRPr="004B2E10">
        <w:rPr>
          <w:noProof/>
        </w:rPr>
        <w:t>cost benefit analysis.</w:t>
      </w:r>
    </w:p>
    <w:p w14:paraId="7DF4ED99" w14:textId="2C9AA967" w:rsidR="004B2E10" w:rsidRPr="00BB495F" w:rsidRDefault="004B2E10" w:rsidP="004B2E10">
      <w:pPr>
        <w:ind w:firstLine="720"/>
        <w:rPr>
          <w:b/>
          <w:i/>
          <w:noProof/>
        </w:rPr>
      </w:pPr>
      <w:r w:rsidRPr="00704FBC">
        <w:rPr>
          <w:b/>
          <w:i/>
          <w:noProof/>
        </w:rPr>
        <w:t xml:space="preserve">Task Output </w:t>
      </w:r>
      <w:r>
        <w:rPr>
          <w:b/>
          <w:i/>
          <w:noProof/>
        </w:rPr>
        <w:t>2</w:t>
      </w:r>
      <w:r w:rsidRPr="00704FBC">
        <w:rPr>
          <w:b/>
          <w:i/>
          <w:noProof/>
        </w:rPr>
        <w:t>.</w:t>
      </w:r>
      <w:r>
        <w:rPr>
          <w:b/>
          <w:i/>
          <w:noProof/>
        </w:rPr>
        <w:t>4</w:t>
      </w:r>
      <w:r w:rsidRPr="00704FBC">
        <w:rPr>
          <w:b/>
          <w:i/>
          <w:noProof/>
        </w:rPr>
        <w:t>.</w:t>
      </w:r>
      <w:r>
        <w:rPr>
          <w:b/>
          <w:i/>
          <w:noProof/>
        </w:rPr>
        <w:t>4</w:t>
      </w:r>
      <w:r w:rsidRPr="00704FBC">
        <w:rPr>
          <w:b/>
          <w:i/>
          <w:noProof/>
        </w:rPr>
        <w:t xml:space="preserve">: </w:t>
      </w:r>
      <w:r w:rsidRPr="004B2E10">
        <w:rPr>
          <w:b/>
          <w:i/>
          <w:noProof/>
        </w:rPr>
        <w:t xml:space="preserve">Report on </w:t>
      </w:r>
      <w:r>
        <w:rPr>
          <w:b/>
          <w:i/>
          <w:noProof/>
        </w:rPr>
        <w:t xml:space="preserve">nitrogen </w:t>
      </w:r>
      <w:r w:rsidRPr="004B2E10">
        <w:rPr>
          <w:b/>
          <w:i/>
          <w:noProof/>
        </w:rPr>
        <w:t xml:space="preserve">policy options </w:t>
      </w:r>
      <w:r w:rsidR="000A3525">
        <w:rPr>
          <w:b/>
          <w:i/>
          <w:noProof/>
        </w:rPr>
        <w:t>and</w:t>
      </w:r>
      <w:r w:rsidRPr="004B2E10">
        <w:rPr>
          <w:b/>
          <w:i/>
          <w:noProof/>
        </w:rPr>
        <w:t xml:space="preserve"> their possible contribution to the Green Economy.</w:t>
      </w:r>
    </w:p>
    <w:p w14:paraId="253A7AF1" w14:textId="5A3D4A9C" w:rsidR="004B2E10" w:rsidRDefault="00962BB4" w:rsidP="004B2E10">
      <w:pPr>
        <w:pStyle w:val="Leaders"/>
        <w:rPr>
          <w:lang w:eastAsia="en-GB"/>
        </w:rPr>
      </w:pPr>
      <w:r>
        <w:rPr>
          <w:lang w:eastAsia="en-GB"/>
        </w:rPr>
        <w:t>Task</w:t>
      </w:r>
      <w:r w:rsidR="004B2E10">
        <w:rPr>
          <w:lang w:eastAsia="en-GB"/>
        </w:rPr>
        <w:t xml:space="preserve"> Co-Leads: Winiwarter (IIASA) and Kanter (New York Univesity)</w:t>
      </w:r>
    </w:p>
    <w:p w14:paraId="2E570F7C" w14:textId="1A82CE4F" w:rsidR="000E52FA" w:rsidRDefault="00861050" w:rsidP="00E54FFB">
      <w:pPr>
        <w:rPr>
          <w:noProof/>
          <w:lang w:eastAsia="en-GB"/>
        </w:rPr>
      </w:pPr>
      <w:r>
        <w:rPr>
          <w:noProof/>
          <w:lang w:eastAsia="en-GB"/>
        </w:rPr>
        <w:t xml:space="preserve">As the activity develops in relation to future nitrogen scenarios across INMS, several future developments and opportunities will be expected.  These can also be linked to the emerging development of the policy landscape, especially in the context of the ‘nitrogen policy arena’. </w:t>
      </w:r>
      <w:r w:rsidR="000E52FA">
        <w:rPr>
          <w:noProof/>
          <w:lang w:eastAsia="en-GB"/>
        </w:rPr>
        <w:t>In this regard this Task will link closely with Activity 4.3 on international processes in order to inform the policy are</w:t>
      </w:r>
      <w:r w:rsidR="004E2CCE">
        <w:rPr>
          <w:noProof/>
          <w:lang w:eastAsia="en-GB"/>
        </w:rPr>
        <w:t>na</w:t>
      </w:r>
      <w:r w:rsidR="000E52FA">
        <w:rPr>
          <w:noProof/>
          <w:lang w:eastAsia="en-GB"/>
        </w:rPr>
        <w:t xml:space="preserve"> and to feedback to the development of supporting concepts and approaches. </w:t>
      </w:r>
    </w:p>
    <w:p w14:paraId="3A84FF4A" w14:textId="77777777" w:rsidR="005630D9" w:rsidRDefault="000E52FA" w:rsidP="00E54FFB">
      <w:pPr>
        <w:rPr>
          <w:noProof/>
          <w:lang w:eastAsia="en-GB"/>
        </w:rPr>
      </w:pPr>
      <w:r>
        <w:rPr>
          <w:noProof/>
          <w:lang w:eastAsia="en-GB"/>
        </w:rPr>
        <w:t xml:space="preserve">This work will also link to progress in the Sustainable Development Goals (both development and implementation, as that process progresses), and to the development of processes linked to planetary boundaries, exploring how the planetary boundary concept can be refined for nitrogen and conversely how the nitrogen case could support the planetary boundaries approach. </w:t>
      </w:r>
    </w:p>
    <w:p w14:paraId="78645E41" w14:textId="1B4299B8" w:rsidR="000E52FA" w:rsidRDefault="000E52FA" w:rsidP="00E54FFB">
      <w:pPr>
        <w:rPr>
          <w:noProof/>
          <w:lang w:eastAsia="en-GB"/>
        </w:rPr>
      </w:pPr>
      <w:r>
        <w:rPr>
          <w:noProof/>
          <w:lang w:eastAsia="en-GB"/>
        </w:rPr>
        <w:t xml:space="preserve">Subject to additional external resources being obtained, </w:t>
      </w:r>
      <w:r w:rsidR="005630D9">
        <w:rPr>
          <w:noProof/>
          <w:lang w:eastAsia="en-GB"/>
        </w:rPr>
        <w:t>a target setting approach to linking nitrogen scenarios to planetary boundary options may also be developed.</w:t>
      </w:r>
    </w:p>
    <w:p w14:paraId="631518D2" w14:textId="2D856189" w:rsidR="005630D9" w:rsidRDefault="005630D9" w:rsidP="00E54FFB">
      <w:pPr>
        <w:rPr>
          <w:noProof/>
          <w:lang w:eastAsia="en-GB"/>
        </w:rPr>
      </w:pPr>
      <w:r>
        <w:rPr>
          <w:noProof/>
          <w:lang w:eastAsia="en-GB"/>
        </w:rPr>
        <w:t>The output of this task will be a report on policy options</w:t>
      </w:r>
      <w:r w:rsidR="004E2CCE">
        <w:rPr>
          <w:noProof/>
          <w:lang w:eastAsia="en-GB"/>
        </w:rPr>
        <w:t>,</w:t>
      </w:r>
      <w:r>
        <w:rPr>
          <w:noProof/>
          <w:lang w:eastAsia="en-GB"/>
        </w:rPr>
        <w:t xml:space="preserve"> their relationship to future global economy and wellbeing, linkin</w:t>
      </w:r>
      <w:r w:rsidR="004E2CCE">
        <w:rPr>
          <w:noProof/>
          <w:lang w:eastAsia="en-GB"/>
        </w:rPr>
        <w:t>g</w:t>
      </w:r>
      <w:r>
        <w:rPr>
          <w:noProof/>
          <w:lang w:eastAsia="en-GB"/>
        </w:rPr>
        <w:t xml:space="preserve">, for example, to the current state of concepts such as the Green Economy, Green Growth and the Circular Economy.  </w:t>
      </w:r>
    </w:p>
    <w:p w14:paraId="07EBAA32" w14:textId="70FB9CF5" w:rsidR="004B2E10" w:rsidRDefault="005630D9" w:rsidP="00E54FFB">
      <w:pPr>
        <w:rPr>
          <w:noProof/>
          <w:lang w:eastAsia="en-GB"/>
        </w:rPr>
      </w:pPr>
      <w:r>
        <w:rPr>
          <w:noProof/>
          <w:lang w:eastAsia="en-GB"/>
        </w:rPr>
        <w:t xml:space="preserve">As an INMS technical document focused on policy analysis, it its not anticipated to be the role of this Task and its report to advocate specific solutions. Rather the focus is expected to be on understanding the consequences of different options, their implications and risks, as well as highlighting key opportunities. In this way, it is anticipated that the report will play an important role to stimulate discussion within the nitrogen policy arena (including countries, international conventions and programmes, business, civil society etc).  </w:t>
      </w:r>
    </w:p>
    <w:p w14:paraId="2C4A1E28" w14:textId="77777777" w:rsidR="00DD0D30" w:rsidRDefault="00DD0D30" w:rsidP="007D7A4E"/>
    <w:p w14:paraId="6317207B" w14:textId="77777777" w:rsidR="00B861EE" w:rsidRDefault="00B861EE" w:rsidP="007D7A4E">
      <w:r>
        <w:rPr>
          <w:noProof/>
          <w:lang w:eastAsia="en-GB"/>
        </w:rPr>
        <w:lastRenderedPageBreak/>
        <w:drawing>
          <wp:inline distT="0" distB="0" distL="0" distR="0" wp14:anchorId="008F8191" wp14:editId="1547337B">
            <wp:extent cx="5767070" cy="394589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tivity 2.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7070" cy="3945890"/>
                    </a:xfrm>
                    <a:prstGeom prst="rect">
                      <a:avLst/>
                    </a:prstGeom>
                  </pic:spPr>
                </pic:pic>
              </a:graphicData>
            </a:graphic>
          </wp:inline>
        </w:drawing>
      </w:r>
    </w:p>
    <w:p w14:paraId="7AB5B5BD" w14:textId="65165625" w:rsidR="000A3525" w:rsidRPr="005630D9" w:rsidRDefault="000B1EB3" w:rsidP="005630D9">
      <w:pPr>
        <w:pStyle w:val="Caption"/>
        <w:rPr>
          <w:noProof/>
        </w:rPr>
      </w:pPr>
      <w:r w:rsidRPr="00B61BF6">
        <w:rPr>
          <w:b/>
          <w:noProof/>
          <w:lang w:eastAsia="en-GB"/>
        </w:rPr>
        <w:t>Figure A1</w:t>
      </w:r>
      <w:r>
        <w:rPr>
          <w:b/>
          <w:noProof/>
          <w:lang w:eastAsia="en-GB"/>
        </w:rPr>
        <w:t>6.4</w:t>
      </w:r>
      <w:r w:rsidRPr="00B61BF6">
        <w:rPr>
          <w:b/>
          <w:noProof/>
          <w:lang w:eastAsia="en-GB"/>
        </w:rPr>
        <w:t>:</w:t>
      </w:r>
      <w:r>
        <w:rPr>
          <w:noProof/>
          <w:lang w:eastAsia="en-GB"/>
        </w:rPr>
        <w:t xml:space="preserve"> Summary of Tasks and Task Outputs needed to reach the overall Output in relation to</w:t>
      </w:r>
      <w:r w:rsidRPr="000B1EB3">
        <w:rPr>
          <w:rFonts w:eastAsiaTheme="minorEastAsia" w:hAnsi="Calibri"/>
          <w:color w:val="FFFFFF" w:themeColor="light1"/>
          <w:kern w:val="24"/>
          <w:sz w:val="24"/>
          <w:szCs w:val="24"/>
          <w:lang w:eastAsia="en-GB"/>
        </w:rPr>
        <w:t xml:space="preserve"> </w:t>
      </w:r>
      <w:r>
        <w:rPr>
          <w:noProof/>
        </w:rPr>
        <w:t>e</w:t>
      </w:r>
      <w:r w:rsidRPr="000B1EB3">
        <w:rPr>
          <w:noProof/>
        </w:rPr>
        <w:t>xploration of future N storylines &amp; scenarios with management/ mitigation options &amp; cost-benefit analysis</w:t>
      </w:r>
      <w:r>
        <w:rPr>
          <w:noProof/>
          <w:lang w:eastAsia="en-GB"/>
        </w:rPr>
        <w:t xml:space="preserve"> (Activity 2.4; Output 2.4). </w:t>
      </w:r>
    </w:p>
    <w:p w14:paraId="252A5CB9" w14:textId="77777777" w:rsidR="000A3525" w:rsidRPr="007F25B2" w:rsidRDefault="000A3525" w:rsidP="00554257">
      <w:pPr>
        <w:rPr>
          <w:i/>
        </w:rPr>
      </w:pPr>
    </w:p>
    <w:p w14:paraId="2023EED4" w14:textId="301F5DB1" w:rsidR="00962BB4" w:rsidRPr="00B7395B" w:rsidRDefault="00962BB4" w:rsidP="00962BB4">
      <w:pPr>
        <w:pStyle w:val="Heading3"/>
        <w:rPr>
          <w:noProof/>
        </w:rPr>
      </w:pPr>
      <w:bookmarkStart w:id="19" w:name="_Toc442303840"/>
      <w:r w:rsidRPr="00B7395B">
        <w:rPr>
          <w:noProof/>
          <w:lang w:eastAsia="en-GB"/>
        </w:rPr>
        <w:t xml:space="preserve">Activity </w:t>
      </w:r>
      <w:r>
        <w:rPr>
          <w:noProof/>
          <w:lang w:eastAsia="en-GB"/>
        </w:rPr>
        <w:t>2.5</w:t>
      </w:r>
      <w:r w:rsidRPr="00B7395B">
        <w:rPr>
          <w:noProof/>
          <w:lang w:eastAsia="en-GB"/>
        </w:rPr>
        <w:t xml:space="preserve">:  </w:t>
      </w:r>
      <w:r w:rsidRPr="00962BB4">
        <w:rPr>
          <w:noProof/>
          <w:lang w:eastAsia="en-GB"/>
        </w:rPr>
        <w:t>Collation &amp; synthesis of knowledge, experience &amp; measures adopted by GEF and o</w:t>
      </w:r>
      <w:r>
        <w:rPr>
          <w:noProof/>
          <w:lang w:eastAsia="en-GB"/>
        </w:rPr>
        <w:t>thers on excess &amp; insufficient reactive nitrogen</w:t>
      </w:r>
      <w:bookmarkEnd w:id="19"/>
    </w:p>
    <w:p w14:paraId="05EC5351" w14:textId="5304997D" w:rsidR="00962BB4" w:rsidRDefault="00962BB4" w:rsidP="00962BB4">
      <w:pPr>
        <w:ind w:left="851"/>
        <w:rPr>
          <w:b/>
          <w:i/>
        </w:rPr>
      </w:pPr>
      <w:r w:rsidRPr="00440C28">
        <w:rPr>
          <w:b/>
          <w:i/>
        </w:rPr>
        <w:t xml:space="preserve">Output </w:t>
      </w:r>
      <w:r>
        <w:rPr>
          <w:b/>
          <w:i/>
        </w:rPr>
        <w:t>2</w:t>
      </w:r>
      <w:r w:rsidRPr="00440C28">
        <w:rPr>
          <w:b/>
          <w:i/>
        </w:rPr>
        <w:t>.</w:t>
      </w:r>
      <w:r>
        <w:rPr>
          <w:b/>
          <w:i/>
        </w:rPr>
        <w:t xml:space="preserve">5: </w:t>
      </w:r>
      <w:r w:rsidRPr="00962BB4">
        <w:rPr>
          <w:b/>
          <w:i/>
        </w:rPr>
        <w:t>Compendium summarizing the state of knowledge, experience and measures adopted by GEF (and others) gained from addressing the iss</w:t>
      </w:r>
      <w:r>
        <w:rPr>
          <w:b/>
          <w:i/>
        </w:rPr>
        <w:t>ues of excess and insufficient reactive nitrogen</w:t>
      </w:r>
    </w:p>
    <w:p w14:paraId="6740AF54" w14:textId="433B8252" w:rsidR="00962BB4" w:rsidRDefault="00962BB4" w:rsidP="00962BB4">
      <w:pPr>
        <w:pStyle w:val="Leaders"/>
        <w:rPr>
          <w:lang w:eastAsia="en-GB"/>
        </w:rPr>
      </w:pPr>
      <w:r>
        <w:rPr>
          <w:lang w:eastAsia="en-GB"/>
        </w:rPr>
        <w:t>Activity Co-Leads: GPNM (Walker</w:t>
      </w:r>
      <w:r w:rsidR="00872C9F">
        <w:rPr>
          <w:lang w:eastAsia="en-GB"/>
        </w:rPr>
        <w:t>, WRI, US and Bleeker, ECN, NL)</w:t>
      </w:r>
    </w:p>
    <w:p w14:paraId="3FAB5615" w14:textId="006D64E2" w:rsidR="0087631F" w:rsidRDefault="00872C9F" w:rsidP="00962BB4">
      <w:pPr>
        <w:rPr>
          <w:noProof/>
          <w:lang w:eastAsia="en-GB"/>
        </w:rPr>
      </w:pPr>
      <w:r>
        <w:rPr>
          <w:noProof/>
          <w:lang w:eastAsia="en-GB"/>
        </w:rPr>
        <w:t>The aim of this task is to produce a compendium summarizing what has been achieved by GEF and other</w:t>
      </w:r>
      <w:r w:rsidR="004E2CCE">
        <w:rPr>
          <w:noProof/>
          <w:lang w:eastAsia="en-GB"/>
        </w:rPr>
        <w:t>s</w:t>
      </w:r>
      <w:r w:rsidR="00B20E21">
        <w:rPr>
          <w:noProof/>
          <w:lang w:eastAsia="en-GB"/>
        </w:rPr>
        <w:t xml:space="preserve">, including OECD, UNECE and other international and national programmes, </w:t>
      </w:r>
      <w:r>
        <w:rPr>
          <w:noProof/>
          <w:lang w:eastAsia="en-GB"/>
        </w:rPr>
        <w:t>through previous and ongoing interventions related to the nitrogen cycle. The focus here is not just on scientific underpinning and on policy development, but even more on achieving changes in practice, giving examples of success stories related to better nitrogen management that can be shared with a wider audience.  This may include examples of demonstrating a new technological approach to improve nitrogen use efficiency or reduce N losses, the sharing of improved monitoring and awareness schemes (e.g. farm N budgeting, ecosystem health record card approach)</w:t>
      </w:r>
      <w:r w:rsidR="0087631F">
        <w:rPr>
          <w:noProof/>
          <w:lang w:eastAsia="en-GB"/>
        </w:rPr>
        <w:t xml:space="preserve">, demonstration of approaches to overcome barriers to change, and demonsttration of success stories that show improved environmental quality. </w:t>
      </w:r>
    </w:p>
    <w:p w14:paraId="4A9A3D15" w14:textId="43ADFB88" w:rsidR="00AF3B5E" w:rsidRDefault="00AF3B5E" w:rsidP="00962BB4">
      <w:pPr>
        <w:rPr>
          <w:noProof/>
          <w:lang w:eastAsia="en-GB"/>
        </w:rPr>
      </w:pPr>
      <w:r>
        <w:rPr>
          <w:noProof/>
          <w:lang w:eastAsia="en-GB"/>
        </w:rPr>
        <w:t>While the starting poi</w:t>
      </w:r>
      <w:r w:rsidR="00141B5F">
        <w:rPr>
          <w:noProof/>
          <w:lang w:eastAsia="en-GB"/>
        </w:rPr>
        <w:t>n</w:t>
      </w:r>
      <w:r>
        <w:rPr>
          <w:noProof/>
          <w:lang w:eastAsia="en-GB"/>
        </w:rPr>
        <w:t xml:space="preserve">t will be </w:t>
      </w:r>
      <w:r w:rsidR="004E2CCE">
        <w:rPr>
          <w:noProof/>
          <w:lang w:eastAsia="en-GB"/>
        </w:rPr>
        <w:t xml:space="preserve">a </w:t>
      </w:r>
      <w:r>
        <w:rPr>
          <w:noProof/>
          <w:lang w:eastAsia="en-GB"/>
        </w:rPr>
        <w:t xml:space="preserve">review of GEF actions, the analysis will also be widened by engagement through the INMS network, including the Regional Demonstration Partners to identify other examples for inclusion in the review. These will include examples of bi-lateral country pairing, where these can be identified and given more visibility through the INMS review and database.  </w:t>
      </w:r>
    </w:p>
    <w:p w14:paraId="0A8FD2BB" w14:textId="06514891" w:rsidR="0087631F" w:rsidRDefault="0087631F" w:rsidP="00962BB4">
      <w:pPr>
        <w:rPr>
          <w:noProof/>
          <w:lang w:eastAsia="en-GB"/>
        </w:rPr>
      </w:pPr>
      <w:r>
        <w:rPr>
          <w:noProof/>
          <w:lang w:eastAsia="en-GB"/>
        </w:rPr>
        <w:lastRenderedPageBreak/>
        <w:t>This synthesis should not, however, only be an uncritical search for success stories. As the information is brought together, it is expected that common messages may emerge where barriers to change are not solved, where methods adopted a</w:t>
      </w:r>
      <w:r w:rsidR="004E2CCE">
        <w:rPr>
          <w:noProof/>
          <w:lang w:eastAsia="en-GB"/>
        </w:rPr>
        <w:t>re</w:t>
      </w:r>
      <w:r>
        <w:rPr>
          <w:noProof/>
          <w:lang w:eastAsia="en-GB"/>
        </w:rPr>
        <w:t xml:space="preserve"> not sufficiently integrative (e.g. with risks of nitrogen pollution swapping) or where mistakes have been made that the INMS community needs to learn from.  The aim here will be learn from this synthesis to see how stronger nitrogen approachces can be developed in future. </w:t>
      </w:r>
    </w:p>
    <w:p w14:paraId="683A1A36" w14:textId="7FC15B2F" w:rsidR="00872C9F" w:rsidRDefault="00872C9F" w:rsidP="00872C9F">
      <w:r w:rsidRPr="00072447">
        <w:t>INMS partners</w:t>
      </w:r>
      <w:r>
        <w:t xml:space="preserve"> who ha</w:t>
      </w:r>
      <w:r w:rsidRPr="001577AC">
        <w:t xml:space="preserve">ve proposed to contribute to this activity include:  WRI (US), ECN </w:t>
      </w:r>
      <w:r w:rsidR="00102E5B" w:rsidRPr="001577AC">
        <w:t>(The Netherlands)</w:t>
      </w:r>
      <w:r w:rsidRPr="001577AC">
        <w:t xml:space="preserve">, </w:t>
      </w:r>
      <w:r w:rsidR="001577AC" w:rsidRPr="001577AC">
        <w:t xml:space="preserve">OECD, </w:t>
      </w:r>
      <w:r w:rsidRPr="001577AC">
        <w:t>Indian Nitrogen Group (India), ISA (P</w:t>
      </w:r>
      <w:r w:rsidR="0095336E" w:rsidRPr="001577AC">
        <w:t>ortugal</w:t>
      </w:r>
      <w:r w:rsidRPr="001577AC">
        <w:t xml:space="preserve">), </w:t>
      </w:r>
      <w:r w:rsidR="00914036" w:rsidRPr="001577AC">
        <w:t>VU</w:t>
      </w:r>
      <w:r w:rsidRPr="001577AC">
        <w:t xml:space="preserve"> </w:t>
      </w:r>
      <w:r w:rsidR="00102E5B" w:rsidRPr="001577AC">
        <w:t>(The Netherlands)</w:t>
      </w:r>
      <w:r w:rsidRPr="001577AC">
        <w:t xml:space="preserve">, ATB </w:t>
      </w:r>
      <w:r w:rsidR="00102E5B" w:rsidRPr="001577AC">
        <w:t>(Denmark)</w:t>
      </w:r>
      <w:r w:rsidRPr="001577AC">
        <w:t>, NERC (UK).</w:t>
      </w:r>
      <w:r w:rsidRPr="000200DA">
        <w:rPr>
          <w:color w:val="FF0000"/>
        </w:rPr>
        <w:t xml:space="preserve"> </w:t>
      </w:r>
    </w:p>
    <w:p w14:paraId="180C89D2" w14:textId="4ED7B0FF" w:rsidR="00872C9F" w:rsidRDefault="00872C9F" w:rsidP="00872C9F">
      <w:r>
        <w:t xml:space="preserve">The following are expected to offer advice and to act as reviewers: </w:t>
      </w:r>
      <w:r w:rsidRPr="000200DA">
        <w:t xml:space="preserve">INRA </w:t>
      </w:r>
      <w:r w:rsidR="00914036">
        <w:t>(France)</w:t>
      </w:r>
      <w:r w:rsidRPr="000200DA">
        <w:t xml:space="preserve">, UBA </w:t>
      </w:r>
      <w:r w:rsidR="00102E5B">
        <w:t>(</w:t>
      </w:r>
      <w:r w:rsidR="001577AC">
        <w:t>Germany</w:t>
      </w:r>
      <w:r w:rsidR="00102E5B">
        <w:t>)</w:t>
      </w:r>
      <w:r w:rsidRPr="000200DA">
        <w:t xml:space="preserve">, ADEME </w:t>
      </w:r>
      <w:r w:rsidR="00914036">
        <w:t>(France)</w:t>
      </w:r>
      <w:r w:rsidRPr="000200DA">
        <w:t xml:space="preserve">, PBL </w:t>
      </w:r>
      <w:r w:rsidR="00102E5B">
        <w:t>(The Netherlands)</w:t>
      </w:r>
      <w:r w:rsidRPr="000200DA">
        <w:t>, FAO</w:t>
      </w:r>
      <w:r w:rsidR="0095336E">
        <w:t xml:space="preserve"> AGA</w:t>
      </w:r>
      <w:r w:rsidRPr="001577AC">
        <w:t xml:space="preserve">, </w:t>
      </w:r>
      <w:r w:rsidR="0095336E" w:rsidRPr="001577AC">
        <w:t>LVBC (Uganda)</w:t>
      </w:r>
      <w:r w:rsidRPr="001577AC">
        <w:t xml:space="preserve">, UNECE, </w:t>
      </w:r>
      <w:r w:rsidR="001577AC" w:rsidRPr="001577AC">
        <w:t xml:space="preserve">The Commission on the Protection of the Black Sea (BSC PS), </w:t>
      </w:r>
      <w:r w:rsidRPr="001577AC">
        <w:t>UNEP.</w:t>
      </w:r>
      <w:r w:rsidRPr="000200DA">
        <w:rPr>
          <w:color w:val="FF0000"/>
        </w:rPr>
        <w:t xml:space="preserve"> </w:t>
      </w:r>
    </w:p>
    <w:p w14:paraId="0FFA4B27" w14:textId="77777777" w:rsidR="00962BB4" w:rsidRDefault="00962BB4" w:rsidP="00962BB4">
      <w:pPr>
        <w:rPr>
          <w:noProof/>
          <w:lang w:eastAsia="en-GB"/>
        </w:rPr>
      </w:pPr>
    </w:p>
    <w:p w14:paraId="5A24B637" w14:textId="4B946E54" w:rsidR="00962BB4" w:rsidRPr="00B7395B" w:rsidRDefault="00962BB4" w:rsidP="00962BB4">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5</w:t>
      </w:r>
      <w:r w:rsidRPr="00B7395B">
        <w:rPr>
          <w:noProof/>
        </w:rPr>
        <w:t>.</w:t>
      </w:r>
      <w:r>
        <w:rPr>
          <w:noProof/>
        </w:rPr>
        <w:t>1</w:t>
      </w:r>
      <w:r w:rsidRPr="00B7395B">
        <w:rPr>
          <w:noProof/>
        </w:rPr>
        <w:t xml:space="preserve">:  </w:t>
      </w:r>
      <w:r w:rsidRPr="00962BB4">
        <w:rPr>
          <w:noProof/>
        </w:rPr>
        <w:t>Review of N measures adopted by GEF and incorporation into database</w:t>
      </w:r>
    </w:p>
    <w:p w14:paraId="4D6F319F" w14:textId="4989DEFC" w:rsidR="00962BB4" w:rsidRPr="00BB495F" w:rsidRDefault="00962BB4" w:rsidP="00962BB4">
      <w:pPr>
        <w:ind w:firstLine="720"/>
        <w:rPr>
          <w:b/>
          <w:i/>
          <w:noProof/>
        </w:rPr>
      </w:pPr>
      <w:r w:rsidRPr="00704FBC">
        <w:rPr>
          <w:b/>
          <w:i/>
          <w:noProof/>
        </w:rPr>
        <w:t xml:space="preserve">Task Output </w:t>
      </w:r>
      <w:r>
        <w:rPr>
          <w:b/>
          <w:i/>
          <w:noProof/>
        </w:rPr>
        <w:t>2</w:t>
      </w:r>
      <w:r w:rsidRPr="00704FBC">
        <w:rPr>
          <w:b/>
          <w:i/>
          <w:noProof/>
        </w:rPr>
        <w:t>.</w:t>
      </w:r>
      <w:r>
        <w:rPr>
          <w:b/>
          <w:i/>
          <w:noProof/>
        </w:rPr>
        <w:t>5</w:t>
      </w:r>
      <w:r w:rsidRPr="00704FBC">
        <w:rPr>
          <w:b/>
          <w:i/>
          <w:noProof/>
        </w:rPr>
        <w:t>.</w:t>
      </w:r>
      <w:r>
        <w:rPr>
          <w:b/>
          <w:i/>
          <w:noProof/>
        </w:rPr>
        <w:t>1</w:t>
      </w:r>
      <w:r w:rsidRPr="00704FBC">
        <w:rPr>
          <w:b/>
          <w:i/>
          <w:noProof/>
        </w:rPr>
        <w:t xml:space="preserve">: </w:t>
      </w:r>
      <w:r w:rsidRPr="00962BB4">
        <w:rPr>
          <w:b/>
          <w:i/>
          <w:noProof/>
        </w:rPr>
        <w:t>Database and summary document on GEF N measures</w:t>
      </w:r>
    </w:p>
    <w:p w14:paraId="3DCF9234" w14:textId="14556C24" w:rsidR="00962BB4" w:rsidRDefault="00826DC4" w:rsidP="00962BB4">
      <w:pPr>
        <w:pStyle w:val="Leaders"/>
        <w:rPr>
          <w:lang w:eastAsia="en-GB"/>
        </w:rPr>
      </w:pPr>
      <w:r>
        <w:rPr>
          <w:lang w:eastAsia="en-GB"/>
        </w:rPr>
        <w:t xml:space="preserve">Task  </w:t>
      </w:r>
      <w:r w:rsidR="00962BB4">
        <w:rPr>
          <w:lang w:eastAsia="en-GB"/>
        </w:rPr>
        <w:t xml:space="preserve">Co-Leads: </w:t>
      </w:r>
      <w:r>
        <w:rPr>
          <w:lang w:eastAsia="en-GB"/>
        </w:rPr>
        <w:t xml:space="preserve">Walker (WRI, US) and Bleeker (ECN, NL) </w:t>
      </w:r>
    </w:p>
    <w:p w14:paraId="72973269" w14:textId="48A48E75" w:rsidR="00813B22" w:rsidRDefault="00AF3B5E" w:rsidP="00826DC4">
      <w:pPr>
        <w:rPr>
          <w:lang w:eastAsia="en-GB"/>
        </w:rPr>
      </w:pPr>
      <w:r>
        <w:rPr>
          <w:lang w:eastAsia="en-GB"/>
        </w:rPr>
        <w:t xml:space="preserve">The first task will focus on bringing together information from past GEF projects as far as these link to the nitrogen cycle, but which can also be used for collection of information from other sources (e.g. GPA, </w:t>
      </w:r>
      <w:r w:rsidR="009A578C">
        <w:rPr>
          <w:lang w:eastAsia="en-GB"/>
        </w:rPr>
        <w:t xml:space="preserve">OECD, </w:t>
      </w:r>
      <w:r>
        <w:rPr>
          <w:lang w:eastAsia="en-GB"/>
        </w:rPr>
        <w:t>CBD, LRTAP, GPA, CDM</w:t>
      </w:r>
      <w:r w:rsidR="00813B22">
        <w:rPr>
          <w:lang w:eastAsia="en-GB"/>
        </w:rPr>
        <w:t>, Montreal Protocol and other regional conventions</w:t>
      </w:r>
      <w:r>
        <w:rPr>
          <w:lang w:eastAsia="en-GB"/>
        </w:rPr>
        <w:t xml:space="preserve"> </w:t>
      </w:r>
      <w:r w:rsidR="00813B22">
        <w:rPr>
          <w:lang w:eastAsia="en-GB"/>
        </w:rPr>
        <w:t xml:space="preserve">and programmes).  </w:t>
      </w:r>
    </w:p>
    <w:p w14:paraId="2582D939" w14:textId="6BF9F711" w:rsidR="00826DC4" w:rsidRDefault="00AF3B5E" w:rsidP="00826DC4">
      <w:pPr>
        <w:rPr>
          <w:lang w:eastAsia="en-GB"/>
        </w:rPr>
      </w:pPr>
      <w:r>
        <w:rPr>
          <w:lang w:eastAsia="en-GB"/>
        </w:rPr>
        <w:t xml:space="preserve">At the outset a form will be designed </w:t>
      </w:r>
      <w:r w:rsidR="004E2CCE">
        <w:rPr>
          <w:lang w:eastAsia="en-GB"/>
        </w:rPr>
        <w:t>to gather</w:t>
      </w:r>
      <w:r>
        <w:rPr>
          <w:lang w:eastAsia="en-GB"/>
        </w:rPr>
        <w:t xml:space="preserve"> information</w:t>
      </w:r>
      <w:r w:rsidR="00813B22">
        <w:rPr>
          <w:lang w:eastAsia="en-GB"/>
        </w:rPr>
        <w:t xml:space="preserve"> on measures that can form the basis for information collected in the database.  The format will be designed by the Activity leaders in cooperation with the Component leaders and PCU. This will then be reviewed by the PMB and SPAG to get their feedback as a basis for finalizing the data collection structure.  Although it is not proposed to present this database structure for a decision by the GA, all partners (i.e. GA members) will be invited to supply comments where they have an interest, at the same time as flagging up examples that they suggest be included in the database. </w:t>
      </w:r>
    </w:p>
    <w:p w14:paraId="3B7B9DFC" w14:textId="398E317D" w:rsidR="00872C9F" w:rsidRDefault="00AA5594" w:rsidP="00826DC4">
      <w:pPr>
        <w:rPr>
          <w:lang w:eastAsia="en-GB"/>
        </w:rPr>
      </w:pPr>
      <w:r>
        <w:rPr>
          <w:lang w:eastAsia="en-GB"/>
        </w:rPr>
        <w:t>The starting work of Task 2.5.1 will allow the Activity Leaders to ensure that the database structure is finalized, and the database itself constructed. The data gathering process will then commence, simultaneously contributing to populate the database and to provide material for the compendium.  In cooperation with the PCU it is anticipated to make this database available on the INMS website.    A summary document on measures adopted by GEF will provide an output to share with the PMB, SPAG and GA.</w:t>
      </w:r>
    </w:p>
    <w:p w14:paraId="38F9A4D1" w14:textId="6F883BD6" w:rsidR="00AA5594" w:rsidRPr="00AA5594" w:rsidRDefault="00826DC4" w:rsidP="00AA5594">
      <w:pPr>
        <w:pStyle w:val="Heading4"/>
        <w:numPr>
          <w:ilvl w:val="0"/>
          <w:numId w:val="0"/>
        </w:numPr>
        <w:ind w:left="864" w:hanging="864"/>
        <w:rPr>
          <w:noProof/>
        </w:rPr>
      </w:pPr>
      <w:r w:rsidRPr="00B7395B">
        <w:rPr>
          <w:noProof/>
        </w:rPr>
        <w:t xml:space="preserve">Task </w:t>
      </w:r>
      <w:r>
        <w:rPr>
          <w:noProof/>
        </w:rPr>
        <w:t>2</w:t>
      </w:r>
      <w:r w:rsidRPr="00B7395B">
        <w:rPr>
          <w:noProof/>
        </w:rPr>
        <w:t>.</w:t>
      </w:r>
      <w:r>
        <w:rPr>
          <w:noProof/>
        </w:rPr>
        <w:t>5</w:t>
      </w:r>
      <w:r w:rsidRPr="00B7395B">
        <w:rPr>
          <w:noProof/>
        </w:rPr>
        <w:t>.</w:t>
      </w:r>
      <w:r>
        <w:rPr>
          <w:noProof/>
        </w:rPr>
        <w:t>2</w:t>
      </w:r>
      <w:r w:rsidRPr="00B7395B">
        <w:rPr>
          <w:noProof/>
        </w:rPr>
        <w:t xml:space="preserve">:  </w:t>
      </w:r>
      <w:r w:rsidR="00AA5594" w:rsidRPr="00AA5594">
        <w:rPr>
          <w:noProof/>
        </w:rPr>
        <w:t>Review of N measures adopted by others inc</w:t>
      </w:r>
      <w:r w:rsidR="00141B5F">
        <w:rPr>
          <w:noProof/>
        </w:rPr>
        <w:t>luding</w:t>
      </w:r>
      <w:r w:rsidR="00AA5594" w:rsidRPr="00AA5594">
        <w:rPr>
          <w:noProof/>
        </w:rPr>
        <w:t xml:space="preserve"> from INMS demo</w:t>
      </w:r>
      <w:r w:rsidR="00AA5594">
        <w:rPr>
          <w:noProof/>
        </w:rPr>
        <w:t>nstration</w:t>
      </w:r>
      <w:r w:rsidR="00AA5594" w:rsidRPr="00AA5594">
        <w:rPr>
          <w:noProof/>
        </w:rPr>
        <w:t xml:space="preserve"> regions </w:t>
      </w:r>
      <w:r w:rsidR="00AA5594">
        <w:rPr>
          <w:noProof/>
        </w:rPr>
        <w:t xml:space="preserve">and </w:t>
      </w:r>
      <w:r w:rsidR="00AA5594" w:rsidRPr="00AA5594">
        <w:rPr>
          <w:noProof/>
        </w:rPr>
        <w:t>inc</w:t>
      </w:r>
      <w:r w:rsidR="00AA5594">
        <w:rPr>
          <w:noProof/>
        </w:rPr>
        <w:t>lusion</w:t>
      </w:r>
      <w:r w:rsidR="00AA5594" w:rsidRPr="00AA5594">
        <w:rPr>
          <w:noProof/>
        </w:rPr>
        <w:t xml:space="preserve"> in</w:t>
      </w:r>
      <w:r w:rsidR="00AA5594">
        <w:rPr>
          <w:noProof/>
        </w:rPr>
        <w:t>to</w:t>
      </w:r>
      <w:r w:rsidR="00AA5594" w:rsidRPr="00AA5594">
        <w:rPr>
          <w:noProof/>
        </w:rPr>
        <w:t xml:space="preserve"> database</w:t>
      </w:r>
    </w:p>
    <w:p w14:paraId="28694C72" w14:textId="77777777" w:rsidR="00AA5594" w:rsidRPr="00AA5594" w:rsidRDefault="00826DC4" w:rsidP="00AA5594">
      <w:pPr>
        <w:ind w:firstLine="720"/>
        <w:rPr>
          <w:b/>
          <w:i/>
          <w:noProof/>
        </w:rPr>
      </w:pPr>
      <w:r w:rsidRPr="00704FBC">
        <w:rPr>
          <w:b/>
          <w:i/>
          <w:noProof/>
        </w:rPr>
        <w:t xml:space="preserve">Task Output </w:t>
      </w:r>
      <w:r>
        <w:rPr>
          <w:b/>
          <w:i/>
          <w:noProof/>
        </w:rPr>
        <w:t>2</w:t>
      </w:r>
      <w:r w:rsidRPr="00704FBC">
        <w:rPr>
          <w:b/>
          <w:i/>
          <w:noProof/>
        </w:rPr>
        <w:t>.</w:t>
      </w:r>
      <w:r>
        <w:rPr>
          <w:b/>
          <w:i/>
          <w:noProof/>
        </w:rPr>
        <w:t>5</w:t>
      </w:r>
      <w:r w:rsidRPr="00704FBC">
        <w:rPr>
          <w:b/>
          <w:i/>
          <w:noProof/>
        </w:rPr>
        <w:t>.</w:t>
      </w:r>
      <w:r>
        <w:rPr>
          <w:b/>
          <w:i/>
          <w:noProof/>
        </w:rPr>
        <w:t>2</w:t>
      </w:r>
      <w:r w:rsidRPr="00704FBC">
        <w:rPr>
          <w:b/>
          <w:i/>
          <w:noProof/>
        </w:rPr>
        <w:t xml:space="preserve">: </w:t>
      </w:r>
      <w:r w:rsidR="00AA5594" w:rsidRPr="00AA5594">
        <w:rPr>
          <w:b/>
          <w:i/>
          <w:noProof/>
        </w:rPr>
        <w:t>Database and summary document on N measures adopted by others</w:t>
      </w:r>
    </w:p>
    <w:p w14:paraId="3BCE5A21" w14:textId="77637DC0" w:rsidR="00826DC4" w:rsidRDefault="00AA5594" w:rsidP="00AA5594">
      <w:pPr>
        <w:rPr>
          <w:lang w:eastAsia="en-GB"/>
        </w:rPr>
      </w:pPr>
      <w:r>
        <w:rPr>
          <w:lang w:eastAsia="en-GB"/>
        </w:rPr>
        <w:t xml:space="preserve">This task allows for the continuation of Task 2.5.1, extending it beyond GEF actions to engage with other sources of information, including from other regional programmes, bilateral initiatives and INMS regional demonstrations.  The database and report will be updated accordingly. </w:t>
      </w:r>
    </w:p>
    <w:p w14:paraId="090536A3" w14:textId="382E3D6A" w:rsidR="00826DC4" w:rsidRPr="00B7395B" w:rsidRDefault="00826DC4" w:rsidP="00826DC4">
      <w:pPr>
        <w:pStyle w:val="Heading4"/>
        <w:numPr>
          <w:ilvl w:val="0"/>
          <w:numId w:val="0"/>
        </w:numPr>
        <w:ind w:left="864" w:hanging="864"/>
        <w:rPr>
          <w:noProof/>
        </w:rPr>
      </w:pPr>
      <w:r w:rsidRPr="00B7395B">
        <w:rPr>
          <w:noProof/>
        </w:rPr>
        <w:lastRenderedPageBreak/>
        <w:t xml:space="preserve">Task </w:t>
      </w:r>
      <w:r>
        <w:rPr>
          <w:noProof/>
        </w:rPr>
        <w:t>2</w:t>
      </w:r>
      <w:r w:rsidRPr="00B7395B">
        <w:rPr>
          <w:noProof/>
        </w:rPr>
        <w:t>.</w:t>
      </w:r>
      <w:r>
        <w:rPr>
          <w:noProof/>
        </w:rPr>
        <w:t>5</w:t>
      </w:r>
      <w:r w:rsidRPr="00B7395B">
        <w:rPr>
          <w:noProof/>
        </w:rPr>
        <w:t>.</w:t>
      </w:r>
      <w:r>
        <w:rPr>
          <w:noProof/>
        </w:rPr>
        <w:t>3</w:t>
      </w:r>
      <w:r w:rsidRPr="00B7395B">
        <w:rPr>
          <w:noProof/>
        </w:rPr>
        <w:t xml:space="preserve">:  </w:t>
      </w:r>
      <w:r w:rsidR="00AA5594" w:rsidRPr="00AA5594">
        <w:rPr>
          <w:noProof/>
        </w:rPr>
        <w:t>Preparation of compendium of knowledge on N measures</w:t>
      </w:r>
    </w:p>
    <w:p w14:paraId="280DD0AD" w14:textId="7FC3E62C" w:rsidR="00826DC4" w:rsidRPr="00BB495F" w:rsidRDefault="00826DC4" w:rsidP="00826DC4">
      <w:pPr>
        <w:ind w:firstLine="720"/>
        <w:rPr>
          <w:b/>
          <w:i/>
          <w:noProof/>
        </w:rPr>
      </w:pPr>
      <w:r w:rsidRPr="00704FBC">
        <w:rPr>
          <w:b/>
          <w:i/>
          <w:noProof/>
        </w:rPr>
        <w:t xml:space="preserve">Task Output </w:t>
      </w:r>
      <w:r>
        <w:rPr>
          <w:b/>
          <w:i/>
          <w:noProof/>
        </w:rPr>
        <w:t>2</w:t>
      </w:r>
      <w:r w:rsidRPr="00704FBC">
        <w:rPr>
          <w:b/>
          <w:i/>
          <w:noProof/>
        </w:rPr>
        <w:t>.</w:t>
      </w:r>
      <w:r>
        <w:rPr>
          <w:b/>
          <w:i/>
          <w:noProof/>
        </w:rPr>
        <w:t>5</w:t>
      </w:r>
      <w:r w:rsidRPr="00704FBC">
        <w:rPr>
          <w:b/>
          <w:i/>
          <w:noProof/>
        </w:rPr>
        <w:t>.</w:t>
      </w:r>
      <w:r>
        <w:rPr>
          <w:b/>
          <w:i/>
          <w:noProof/>
        </w:rPr>
        <w:t>3</w:t>
      </w:r>
      <w:r w:rsidRPr="00704FBC">
        <w:rPr>
          <w:b/>
          <w:i/>
          <w:noProof/>
        </w:rPr>
        <w:t xml:space="preserve">: </w:t>
      </w:r>
      <w:r w:rsidR="00AA5594" w:rsidRPr="00AA5594">
        <w:rPr>
          <w:b/>
          <w:i/>
          <w:noProof/>
        </w:rPr>
        <w:t>Synthesis supported by database on N measures as contrib</w:t>
      </w:r>
      <w:r w:rsidR="004E2CCE">
        <w:rPr>
          <w:b/>
          <w:i/>
          <w:noProof/>
        </w:rPr>
        <w:t>utions</w:t>
      </w:r>
      <w:r w:rsidR="00AA5594" w:rsidRPr="00AA5594">
        <w:rPr>
          <w:b/>
          <w:i/>
          <w:noProof/>
        </w:rPr>
        <w:t xml:space="preserve"> to global assessment</w:t>
      </w:r>
      <w:r w:rsidR="009A578C">
        <w:rPr>
          <w:b/>
          <w:i/>
          <w:noProof/>
        </w:rPr>
        <w:t xml:space="preserve"> (A2.2)</w:t>
      </w:r>
    </w:p>
    <w:p w14:paraId="350B3EEF" w14:textId="77777777" w:rsidR="00826DC4" w:rsidRDefault="00826DC4" w:rsidP="00826DC4">
      <w:pPr>
        <w:pStyle w:val="Leaders"/>
        <w:rPr>
          <w:lang w:eastAsia="en-GB"/>
        </w:rPr>
      </w:pPr>
      <w:r>
        <w:rPr>
          <w:lang w:eastAsia="en-GB"/>
        </w:rPr>
        <w:t xml:space="preserve">Task  Co-Leads: Walker (WRI, US) and Bleeker (ECN, NL) </w:t>
      </w:r>
    </w:p>
    <w:p w14:paraId="76648312" w14:textId="19622F68" w:rsidR="00826DC4" w:rsidRDefault="00AA5594" w:rsidP="007D7A4E">
      <w:r>
        <w:t>Once the main information gathering phase is completed, it is anticipated that the completed database will be maintained as a living approach through the INMS website. This will allow partners to add further information themselves if this is considered desirable, with the Activity Leaders responsible as moderators and for quality control of the information gathered.   The information collected in the database will then provide the resource to prepare a synthesis compendium on measures adopted by GEF and others. The synthesis will seek to cluster different examples, e.g. according to source sector or according to receptor ecosystem using site-based approaches.  It will also see</w:t>
      </w:r>
      <w:r w:rsidR="004E2CCE">
        <w:t>k</w:t>
      </w:r>
      <w:r>
        <w:t xml:space="preserve"> to identify key lessons emerging from the review, e.g. observed recipes for success, lessons of problems to be avoided, cases where</w:t>
      </w:r>
      <w:r w:rsidR="004E2CCE">
        <w:t xml:space="preserve"> there is a</w:t>
      </w:r>
      <w:r>
        <w:t xml:space="preserve"> risk of pollution swapping, examples of synergy giving win-win-win outcomes etc. </w:t>
      </w:r>
    </w:p>
    <w:p w14:paraId="26D001DF" w14:textId="20D9051D" w:rsidR="00AA5594" w:rsidRDefault="00AA5594" w:rsidP="007D7A4E">
      <w:r>
        <w:t xml:space="preserve">The compendium will provide a key resource that will feed into the global assessment process under Activity 2.2, as well as provide important material to share more widely in Component 4. </w:t>
      </w:r>
    </w:p>
    <w:p w14:paraId="08CFFBDA" w14:textId="09460466" w:rsidR="007D7A4E" w:rsidRPr="007D7A4E" w:rsidRDefault="00B861EE" w:rsidP="007D7A4E">
      <w:r>
        <w:rPr>
          <w:noProof/>
          <w:lang w:eastAsia="en-GB"/>
        </w:rPr>
        <w:drawing>
          <wp:inline distT="0" distB="0" distL="0" distR="0" wp14:anchorId="1FA7D01D" wp14:editId="697D8C28">
            <wp:extent cx="5767070" cy="3036846"/>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tivity 2.5.png"/>
                    <pic:cNvPicPr/>
                  </pic:nvPicPr>
                  <pic:blipFill rotWithShape="1">
                    <a:blip r:embed="rId14" cstate="print">
                      <a:extLst>
                        <a:ext uri="{28A0092B-C50C-407E-A947-70E740481C1C}">
                          <a14:useLocalDpi xmlns:a14="http://schemas.microsoft.com/office/drawing/2010/main" val="0"/>
                        </a:ext>
                      </a:extLst>
                    </a:blip>
                    <a:srcRect t="10658"/>
                    <a:stretch/>
                  </pic:blipFill>
                  <pic:spPr bwMode="auto">
                    <a:xfrm>
                      <a:off x="0" y="0"/>
                      <a:ext cx="5767070" cy="3036846"/>
                    </a:xfrm>
                    <a:prstGeom prst="rect">
                      <a:avLst/>
                    </a:prstGeom>
                    <a:ln>
                      <a:noFill/>
                    </a:ln>
                    <a:extLst>
                      <a:ext uri="{53640926-AAD7-44D8-BBD7-CCE9431645EC}">
                        <a14:shadowObscured xmlns:a14="http://schemas.microsoft.com/office/drawing/2010/main"/>
                      </a:ext>
                    </a:extLst>
                  </pic:spPr>
                </pic:pic>
              </a:graphicData>
            </a:graphic>
          </wp:inline>
        </w:drawing>
      </w:r>
    </w:p>
    <w:p w14:paraId="76C9D786" w14:textId="77777777" w:rsidR="004C34C5" w:rsidRDefault="004C34C5" w:rsidP="004C34C5"/>
    <w:p w14:paraId="3E462147" w14:textId="276CB83D" w:rsidR="00FC05EA" w:rsidRPr="005630D9" w:rsidRDefault="00FC05EA" w:rsidP="00FC05EA">
      <w:pPr>
        <w:pStyle w:val="Caption"/>
        <w:rPr>
          <w:noProof/>
        </w:rPr>
      </w:pPr>
      <w:r w:rsidRPr="00B61BF6">
        <w:rPr>
          <w:b/>
          <w:noProof/>
          <w:lang w:eastAsia="en-GB"/>
        </w:rPr>
        <w:t>Figure A1</w:t>
      </w:r>
      <w:r>
        <w:rPr>
          <w:b/>
          <w:noProof/>
          <w:lang w:eastAsia="en-GB"/>
        </w:rPr>
        <w:t>6.5</w:t>
      </w:r>
      <w:r w:rsidRPr="00B61BF6">
        <w:rPr>
          <w:b/>
          <w:noProof/>
          <w:lang w:eastAsia="en-GB"/>
        </w:rPr>
        <w:t>:</w:t>
      </w:r>
      <w:r>
        <w:rPr>
          <w:noProof/>
          <w:lang w:eastAsia="en-GB"/>
        </w:rPr>
        <w:t xml:space="preserve"> Summary of Tasks and Task Outputs needed to reach the overall Output in relation to</w:t>
      </w:r>
      <w:r w:rsidRPr="000B1EB3">
        <w:rPr>
          <w:rFonts w:eastAsiaTheme="minorEastAsia" w:hAnsi="Calibri"/>
          <w:color w:val="FFFFFF" w:themeColor="light1"/>
          <w:kern w:val="24"/>
          <w:sz w:val="24"/>
          <w:szCs w:val="24"/>
          <w:lang w:eastAsia="en-GB"/>
        </w:rPr>
        <w:t xml:space="preserve"> </w:t>
      </w:r>
      <w:r>
        <w:rPr>
          <w:noProof/>
        </w:rPr>
        <w:t>e</w:t>
      </w:r>
      <w:r w:rsidRPr="000B1EB3">
        <w:rPr>
          <w:noProof/>
        </w:rPr>
        <w:t>xploration of future N storylines &amp; scenarios with management/ mitigation options &amp; cost-benefit analysis</w:t>
      </w:r>
      <w:r>
        <w:rPr>
          <w:noProof/>
          <w:lang w:eastAsia="en-GB"/>
        </w:rPr>
        <w:t xml:space="preserve"> (Activity 2.5; Output 2.5). </w:t>
      </w:r>
    </w:p>
    <w:p w14:paraId="40A5FDAE" w14:textId="77777777" w:rsidR="00AA5594" w:rsidRDefault="00AA5594" w:rsidP="00175689">
      <w:pPr>
        <w:rPr>
          <w:i/>
        </w:rPr>
      </w:pPr>
    </w:p>
    <w:p w14:paraId="0E5759EA" w14:textId="77777777" w:rsidR="006F21A9" w:rsidRDefault="006F21A9" w:rsidP="006F21A9">
      <w:pPr>
        <w:pStyle w:val="Heading2"/>
      </w:pPr>
      <w:bookmarkStart w:id="20" w:name="_Toc442303841"/>
      <w:r>
        <w:t>Budget</w:t>
      </w:r>
      <w:bookmarkEnd w:id="20"/>
    </w:p>
    <w:p w14:paraId="056FAF19" w14:textId="77777777" w:rsidR="00175689" w:rsidRDefault="00175689" w:rsidP="00175689">
      <w:pPr>
        <w:pStyle w:val="Heading3"/>
      </w:pPr>
      <w:bookmarkStart w:id="21" w:name="_Toc442303842"/>
      <w:r>
        <w:t>GEF Budget</w:t>
      </w:r>
      <w:bookmarkEnd w:id="21"/>
    </w:p>
    <w:p w14:paraId="7B2FA691" w14:textId="0DA3CFD6" w:rsidR="00FC05EA" w:rsidRDefault="00FC05EA" w:rsidP="00FC05EA">
      <w:r>
        <w:t>The overall budget for Component 2 is summarized in Table A16.2 below according to the standard UNEP cost codes.  This is followed by a detailed breakdown of costs by year for each of the Activities 2.1 to 2.6.  An additional activity is identified that allows for technical inputs at the level of Component 2 as a whole to ensure integration.</w:t>
      </w:r>
    </w:p>
    <w:p w14:paraId="6E15F1A6" w14:textId="5C8673B4" w:rsidR="00FC05EA" w:rsidRDefault="00FC05EA" w:rsidP="00FC05EA">
      <w:r>
        <w:lastRenderedPageBreak/>
        <w:t xml:space="preserve"> </w:t>
      </w:r>
    </w:p>
    <w:p w14:paraId="30690DB1" w14:textId="44BF1A97" w:rsidR="00743A3F" w:rsidRDefault="00743A3F" w:rsidP="00FC05EA">
      <w:pPr>
        <w:rPr>
          <w:color w:val="FF0000"/>
        </w:rPr>
      </w:pPr>
      <w:r w:rsidRPr="00743A3F">
        <w:rPr>
          <w:noProof/>
          <w:lang w:eastAsia="en-GB"/>
        </w:rPr>
        <w:drawing>
          <wp:inline distT="0" distB="0" distL="0" distR="0" wp14:anchorId="183E035E" wp14:editId="06B4AE11">
            <wp:extent cx="5767070" cy="2363806"/>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7070" cy="2363806"/>
                    </a:xfrm>
                    <a:prstGeom prst="rect">
                      <a:avLst/>
                    </a:prstGeom>
                    <a:noFill/>
                    <a:ln>
                      <a:noFill/>
                    </a:ln>
                  </pic:spPr>
                </pic:pic>
              </a:graphicData>
            </a:graphic>
          </wp:inline>
        </w:drawing>
      </w:r>
    </w:p>
    <w:p w14:paraId="5AE4651D" w14:textId="34B41D47" w:rsidR="00FC05EA" w:rsidRDefault="00FC05EA" w:rsidP="00FC05EA">
      <w:pPr>
        <w:pStyle w:val="Caption"/>
      </w:pPr>
      <w:r w:rsidRPr="00F74D25">
        <w:rPr>
          <w:b/>
        </w:rPr>
        <w:t>Table</w:t>
      </w:r>
      <w:r>
        <w:rPr>
          <w:b/>
        </w:rPr>
        <w:t xml:space="preserve"> A16.</w:t>
      </w:r>
      <w:r w:rsidRPr="00F74D25">
        <w:rPr>
          <w:b/>
        </w:rPr>
        <w:t>2:</w:t>
      </w:r>
      <w:r w:rsidRPr="00F152ED">
        <w:t xml:space="preserve"> </w:t>
      </w:r>
      <w:r>
        <w:t>Budget overview for Component 1: Tools and Methods for the Nitrogen Cycle (totals by Activity).</w:t>
      </w:r>
    </w:p>
    <w:p w14:paraId="0707F476" w14:textId="77777777" w:rsidR="00FC05EA" w:rsidRDefault="00FC05EA" w:rsidP="00FC05EA"/>
    <w:p w14:paraId="573A0E0F" w14:textId="77777777" w:rsidR="00FC05EA" w:rsidRPr="00EB37EF" w:rsidRDefault="00FC05EA" w:rsidP="00FC05EA"/>
    <w:p w14:paraId="693A4251" w14:textId="5C009898" w:rsidR="00FC05EA" w:rsidRDefault="00743A3F" w:rsidP="00FC05EA">
      <w:r w:rsidRPr="00743A3F">
        <w:rPr>
          <w:noProof/>
          <w:lang w:eastAsia="en-GB"/>
        </w:rPr>
        <w:drawing>
          <wp:inline distT="0" distB="0" distL="0" distR="0" wp14:anchorId="4EAD3481" wp14:editId="742327FD">
            <wp:extent cx="5767070" cy="1998352"/>
            <wp:effectExtent l="0" t="0" r="508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7070" cy="1998352"/>
                    </a:xfrm>
                    <a:prstGeom prst="rect">
                      <a:avLst/>
                    </a:prstGeom>
                    <a:noFill/>
                    <a:ln>
                      <a:noFill/>
                    </a:ln>
                  </pic:spPr>
                </pic:pic>
              </a:graphicData>
            </a:graphic>
          </wp:inline>
        </w:drawing>
      </w:r>
    </w:p>
    <w:p w14:paraId="7B0F1AB4" w14:textId="31263633" w:rsidR="00FC05EA" w:rsidRDefault="00FC05EA" w:rsidP="00FC05EA">
      <w:pPr>
        <w:pStyle w:val="Caption"/>
      </w:pPr>
      <w:r w:rsidRPr="00F74D25">
        <w:rPr>
          <w:b/>
        </w:rPr>
        <w:t>Table</w:t>
      </w:r>
      <w:r>
        <w:rPr>
          <w:b/>
        </w:rPr>
        <w:t xml:space="preserve"> A16.3</w:t>
      </w:r>
      <w:r w:rsidRPr="00F74D25">
        <w:rPr>
          <w:b/>
        </w:rPr>
        <w:t>:</w:t>
      </w:r>
      <w:r w:rsidRPr="00F152ED">
        <w:t xml:space="preserve"> </w:t>
      </w:r>
      <w:r>
        <w:t xml:space="preserve">Budget for Activity </w:t>
      </w:r>
      <w:r w:rsidR="00743A3F">
        <w:t>2</w:t>
      </w:r>
      <w:r>
        <w:t xml:space="preserve">.1 </w:t>
      </w:r>
      <w:r w:rsidR="00743A3F" w:rsidRPr="00743A3F">
        <w:t>Quantifying N flows, threats and benefits at global and regional scales</w:t>
      </w:r>
      <w:r>
        <w:t xml:space="preserve"> (costs by year).</w:t>
      </w:r>
    </w:p>
    <w:p w14:paraId="0D806035" w14:textId="596754F9" w:rsidR="00FC05EA" w:rsidRDefault="00FC05EA" w:rsidP="00FC05EA"/>
    <w:p w14:paraId="03C1FEDD" w14:textId="0C80581C" w:rsidR="00743A3F" w:rsidRDefault="00743A3F" w:rsidP="00FC05EA">
      <w:r w:rsidRPr="00743A3F">
        <w:rPr>
          <w:noProof/>
          <w:lang w:eastAsia="en-GB"/>
        </w:rPr>
        <w:drawing>
          <wp:inline distT="0" distB="0" distL="0" distR="0" wp14:anchorId="05BBEC38" wp14:editId="0C8BE866">
            <wp:extent cx="5767070" cy="1964849"/>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7070" cy="1964849"/>
                    </a:xfrm>
                    <a:prstGeom prst="rect">
                      <a:avLst/>
                    </a:prstGeom>
                    <a:noFill/>
                    <a:ln>
                      <a:noFill/>
                    </a:ln>
                  </pic:spPr>
                </pic:pic>
              </a:graphicData>
            </a:graphic>
          </wp:inline>
        </w:drawing>
      </w:r>
    </w:p>
    <w:p w14:paraId="10F78BA0" w14:textId="1C361AB8" w:rsidR="00FC05EA" w:rsidRDefault="00FC05EA" w:rsidP="00FC05EA">
      <w:pPr>
        <w:pStyle w:val="Caption"/>
      </w:pPr>
      <w:r w:rsidRPr="00F74D25">
        <w:rPr>
          <w:b/>
        </w:rPr>
        <w:t>Table</w:t>
      </w:r>
      <w:r>
        <w:rPr>
          <w:b/>
        </w:rPr>
        <w:t xml:space="preserve"> A16.4</w:t>
      </w:r>
      <w:r w:rsidRPr="00F74D25">
        <w:rPr>
          <w:b/>
        </w:rPr>
        <w:t>:</w:t>
      </w:r>
      <w:r w:rsidRPr="00F152ED">
        <w:t xml:space="preserve"> </w:t>
      </w:r>
      <w:r>
        <w:t xml:space="preserve">Budget for Activity </w:t>
      </w:r>
      <w:r w:rsidR="00743A3F">
        <w:t>2</w:t>
      </w:r>
      <w:r>
        <w:t xml:space="preserve">.2 </w:t>
      </w:r>
      <w:r w:rsidR="00743A3F" w:rsidRPr="00743A3F">
        <w:t xml:space="preserve">Preparation of global assessment of N fluxes, pathways and impacts assimilating lessons from the regional demonstrations </w:t>
      </w:r>
      <w:r>
        <w:t>(costs by year).</w:t>
      </w:r>
    </w:p>
    <w:p w14:paraId="03B43FB6" w14:textId="77777777" w:rsidR="00FC05EA" w:rsidRPr="00EB37EF" w:rsidRDefault="00FC05EA" w:rsidP="00FC05EA"/>
    <w:p w14:paraId="79F0E588" w14:textId="15B89B50" w:rsidR="00743A3F" w:rsidRPr="00743A3F" w:rsidRDefault="00743A3F" w:rsidP="00743A3F">
      <w:r w:rsidRPr="00743A3F">
        <w:rPr>
          <w:noProof/>
          <w:lang w:eastAsia="en-GB"/>
        </w:rPr>
        <w:drawing>
          <wp:inline distT="0" distB="0" distL="0" distR="0" wp14:anchorId="69414E05" wp14:editId="131829BE">
            <wp:extent cx="5767070" cy="2092733"/>
            <wp:effectExtent l="0" t="0" r="508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7070" cy="2092733"/>
                    </a:xfrm>
                    <a:prstGeom prst="rect">
                      <a:avLst/>
                    </a:prstGeom>
                    <a:noFill/>
                    <a:ln>
                      <a:noFill/>
                    </a:ln>
                  </pic:spPr>
                </pic:pic>
              </a:graphicData>
            </a:graphic>
          </wp:inline>
        </w:drawing>
      </w:r>
    </w:p>
    <w:p w14:paraId="6442BDE8" w14:textId="3460A042" w:rsidR="00FC05EA" w:rsidRDefault="00FC05EA" w:rsidP="00FC05EA">
      <w:pPr>
        <w:pStyle w:val="Caption"/>
      </w:pPr>
      <w:r w:rsidRPr="00F74D25">
        <w:rPr>
          <w:b/>
        </w:rPr>
        <w:t>Table</w:t>
      </w:r>
      <w:r>
        <w:rPr>
          <w:b/>
        </w:rPr>
        <w:t xml:space="preserve"> A16.5</w:t>
      </w:r>
      <w:r w:rsidRPr="00F74D25">
        <w:rPr>
          <w:b/>
        </w:rPr>
        <w:t>:</w:t>
      </w:r>
      <w:r w:rsidRPr="00F152ED">
        <w:t xml:space="preserve"> </w:t>
      </w:r>
      <w:r>
        <w:t>Budget for Activity</w:t>
      </w:r>
      <w:r w:rsidR="00743A3F">
        <w:t xml:space="preserve"> 2</w:t>
      </w:r>
      <w:r>
        <w:t xml:space="preserve">.3 </w:t>
      </w:r>
      <w:r w:rsidR="00743A3F" w:rsidRPr="00743A3F">
        <w:t xml:space="preserve">Integrating methods, measures &amp; good practices to address issues of excess &amp; insufficient </w:t>
      </w:r>
      <w:r w:rsidR="00743A3F">
        <w:t xml:space="preserve">reactive nitrogen </w:t>
      </w:r>
      <w:r>
        <w:t>(costs by year).</w:t>
      </w:r>
    </w:p>
    <w:p w14:paraId="6F7C4E50" w14:textId="77777777" w:rsidR="00FC05EA" w:rsidRPr="00EB37EF" w:rsidRDefault="00FC05EA" w:rsidP="00FC05EA"/>
    <w:p w14:paraId="1119FB70" w14:textId="6A56C905" w:rsidR="00743A3F" w:rsidRDefault="00743A3F" w:rsidP="00FC05EA">
      <w:pPr>
        <w:rPr>
          <w:noProof/>
          <w:lang w:eastAsia="en-GB"/>
        </w:rPr>
      </w:pPr>
      <w:r w:rsidRPr="00743A3F">
        <w:rPr>
          <w:noProof/>
          <w:lang w:eastAsia="en-GB"/>
        </w:rPr>
        <w:drawing>
          <wp:inline distT="0" distB="0" distL="0" distR="0" wp14:anchorId="1DD58B66" wp14:editId="15534001">
            <wp:extent cx="5767070" cy="1998352"/>
            <wp:effectExtent l="0" t="0" r="508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7070" cy="1998352"/>
                    </a:xfrm>
                    <a:prstGeom prst="rect">
                      <a:avLst/>
                    </a:prstGeom>
                    <a:noFill/>
                    <a:ln>
                      <a:noFill/>
                    </a:ln>
                  </pic:spPr>
                </pic:pic>
              </a:graphicData>
            </a:graphic>
          </wp:inline>
        </w:drawing>
      </w:r>
    </w:p>
    <w:p w14:paraId="2472FCDF" w14:textId="03B444D8" w:rsidR="00FC05EA" w:rsidRDefault="00FC05EA" w:rsidP="00FC05EA">
      <w:pPr>
        <w:pStyle w:val="Caption"/>
      </w:pPr>
      <w:r w:rsidRPr="00F74D25">
        <w:rPr>
          <w:b/>
        </w:rPr>
        <w:t>Table</w:t>
      </w:r>
      <w:r>
        <w:rPr>
          <w:b/>
        </w:rPr>
        <w:t xml:space="preserve"> A16.6</w:t>
      </w:r>
      <w:r w:rsidRPr="00F74D25">
        <w:rPr>
          <w:b/>
        </w:rPr>
        <w:t>:</w:t>
      </w:r>
      <w:r w:rsidRPr="00F152ED">
        <w:t xml:space="preserve"> </w:t>
      </w:r>
      <w:r>
        <w:t xml:space="preserve">Budget for Activity </w:t>
      </w:r>
      <w:r w:rsidR="00743A3F">
        <w:t>2</w:t>
      </w:r>
      <w:r>
        <w:t xml:space="preserve">.4 </w:t>
      </w:r>
      <w:r w:rsidR="00743A3F" w:rsidRPr="00743A3F">
        <w:t xml:space="preserve">Exploration of future N storylines &amp; scenarios with management/ mitigation options &amp; cost-benefit analysis </w:t>
      </w:r>
      <w:r>
        <w:t>(costs by year).</w:t>
      </w:r>
    </w:p>
    <w:p w14:paraId="6A5BAA69" w14:textId="57C488C3" w:rsidR="00FC05EA" w:rsidRDefault="00FC05EA" w:rsidP="00FC05EA"/>
    <w:p w14:paraId="080B8EB4" w14:textId="116A2591" w:rsidR="00743A3F" w:rsidRDefault="00743A3F" w:rsidP="00FC05EA">
      <w:r w:rsidRPr="00743A3F">
        <w:rPr>
          <w:noProof/>
          <w:lang w:eastAsia="en-GB"/>
        </w:rPr>
        <w:drawing>
          <wp:inline distT="0" distB="0" distL="0" distR="0" wp14:anchorId="3FDA1172" wp14:editId="29CA7A5A">
            <wp:extent cx="5767070" cy="1964849"/>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7070" cy="1964849"/>
                    </a:xfrm>
                    <a:prstGeom prst="rect">
                      <a:avLst/>
                    </a:prstGeom>
                    <a:noFill/>
                    <a:ln>
                      <a:noFill/>
                    </a:ln>
                  </pic:spPr>
                </pic:pic>
              </a:graphicData>
            </a:graphic>
          </wp:inline>
        </w:drawing>
      </w:r>
    </w:p>
    <w:p w14:paraId="59A56F36" w14:textId="79CAF325" w:rsidR="00FC05EA" w:rsidRDefault="00FC05EA" w:rsidP="00FC05EA">
      <w:pPr>
        <w:pStyle w:val="Caption"/>
      </w:pPr>
      <w:r w:rsidRPr="00F74D25">
        <w:rPr>
          <w:b/>
        </w:rPr>
        <w:t>Table</w:t>
      </w:r>
      <w:r>
        <w:rPr>
          <w:b/>
        </w:rPr>
        <w:t xml:space="preserve"> A167</w:t>
      </w:r>
      <w:r w:rsidRPr="00F74D25">
        <w:rPr>
          <w:b/>
        </w:rPr>
        <w:t>:</w:t>
      </w:r>
      <w:r w:rsidRPr="00F152ED">
        <w:t xml:space="preserve"> </w:t>
      </w:r>
      <w:r>
        <w:t xml:space="preserve">Budget for Activity </w:t>
      </w:r>
      <w:r w:rsidR="00743A3F">
        <w:t>2</w:t>
      </w:r>
      <w:r>
        <w:t xml:space="preserve">.5 </w:t>
      </w:r>
      <w:r w:rsidR="00743A3F" w:rsidRPr="00743A3F">
        <w:t xml:space="preserve">Collation &amp; synthesis of knowledge, experience &amp; measures adopted by GEF and others on excess &amp; insufficient </w:t>
      </w:r>
      <w:r w:rsidR="00743A3F">
        <w:t>reactive nitrogen (</w:t>
      </w:r>
      <w:r>
        <w:t>costs by year).</w:t>
      </w:r>
    </w:p>
    <w:p w14:paraId="3AA84821" w14:textId="77777777" w:rsidR="00FC05EA" w:rsidRDefault="00FC05EA" w:rsidP="00FC05EA"/>
    <w:p w14:paraId="23EE6AE8" w14:textId="20DB84CF" w:rsidR="00E43EC4" w:rsidRDefault="00E43EC4" w:rsidP="00FC05EA">
      <w:r w:rsidRPr="00E43EC4">
        <w:rPr>
          <w:noProof/>
          <w:lang w:eastAsia="en-GB"/>
        </w:rPr>
        <w:lastRenderedPageBreak/>
        <w:drawing>
          <wp:inline distT="0" distB="0" distL="0" distR="0" wp14:anchorId="7DF3502D" wp14:editId="29B90D86">
            <wp:extent cx="5767070" cy="1964849"/>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7070" cy="1964849"/>
                    </a:xfrm>
                    <a:prstGeom prst="rect">
                      <a:avLst/>
                    </a:prstGeom>
                    <a:noFill/>
                    <a:ln>
                      <a:noFill/>
                    </a:ln>
                  </pic:spPr>
                </pic:pic>
              </a:graphicData>
            </a:graphic>
          </wp:inline>
        </w:drawing>
      </w:r>
    </w:p>
    <w:p w14:paraId="55820FBC" w14:textId="5D779F87" w:rsidR="00FC05EA" w:rsidRDefault="00FC05EA" w:rsidP="00FC05EA">
      <w:pPr>
        <w:pStyle w:val="Caption"/>
      </w:pPr>
      <w:r w:rsidRPr="00F74D25">
        <w:rPr>
          <w:b/>
        </w:rPr>
        <w:t>Table</w:t>
      </w:r>
      <w:r>
        <w:rPr>
          <w:b/>
        </w:rPr>
        <w:t xml:space="preserve"> A16.9</w:t>
      </w:r>
      <w:r w:rsidRPr="00F74D25">
        <w:rPr>
          <w:b/>
        </w:rPr>
        <w:t>:</w:t>
      </w:r>
      <w:r w:rsidRPr="00F152ED">
        <w:t xml:space="preserve"> </w:t>
      </w:r>
      <w:r>
        <w:t xml:space="preserve">Budget for Activity </w:t>
      </w:r>
      <w:r w:rsidR="00E43EC4">
        <w:t>2</w:t>
      </w:r>
      <w:r>
        <w:t xml:space="preserve">.0 Component Leadership: </w:t>
      </w:r>
      <w:r w:rsidR="00E43EC4" w:rsidRPr="00E43EC4">
        <w:rPr>
          <w:bCs/>
        </w:rPr>
        <w:t>Quantification of N flows, threats &amp; benefits</w:t>
      </w:r>
      <w:r w:rsidR="00E43EC4" w:rsidRPr="00E43EC4">
        <w:t xml:space="preserve"> </w:t>
      </w:r>
      <w:r>
        <w:t>(costs by year).</w:t>
      </w:r>
    </w:p>
    <w:p w14:paraId="3437823D" w14:textId="2C3617FD" w:rsidR="00E43EC4" w:rsidRDefault="00E43EC4"/>
    <w:p w14:paraId="3EFCABFC" w14:textId="77777777" w:rsidR="00E43EC4" w:rsidRPr="00E43EC4" w:rsidRDefault="00E43EC4" w:rsidP="00E43EC4"/>
    <w:p w14:paraId="508C341A" w14:textId="713CBE72" w:rsidR="00E43EC4" w:rsidRPr="00EB37EF" w:rsidRDefault="00E43EC4" w:rsidP="00FC05EA">
      <w:r w:rsidRPr="00E43EC4">
        <w:rPr>
          <w:noProof/>
          <w:lang w:eastAsia="en-GB"/>
        </w:rPr>
        <w:drawing>
          <wp:inline distT="0" distB="0" distL="0" distR="0" wp14:anchorId="6D1D4B86" wp14:editId="14188FCB">
            <wp:extent cx="5767070" cy="1964849"/>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7070" cy="1964849"/>
                    </a:xfrm>
                    <a:prstGeom prst="rect">
                      <a:avLst/>
                    </a:prstGeom>
                    <a:noFill/>
                    <a:ln>
                      <a:noFill/>
                    </a:ln>
                  </pic:spPr>
                </pic:pic>
              </a:graphicData>
            </a:graphic>
          </wp:inline>
        </w:drawing>
      </w:r>
    </w:p>
    <w:p w14:paraId="6C5DFF3C" w14:textId="366EDECD" w:rsidR="00FC05EA" w:rsidRDefault="00FC05EA" w:rsidP="00FC05EA">
      <w:pPr>
        <w:pStyle w:val="Caption"/>
      </w:pPr>
      <w:r w:rsidRPr="00F74D25">
        <w:rPr>
          <w:b/>
        </w:rPr>
        <w:t>Table</w:t>
      </w:r>
      <w:r>
        <w:rPr>
          <w:b/>
        </w:rPr>
        <w:t xml:space="preserve"> A16.10</w:t>
      </w:r>
      <w:r w:rsidRPr="00F74D25">
        <w:rPr>
          <w:b/>
        </w:rPr>
        <w:t>:</w:t>
      </w:r>
      <w:r w:rsidRPr="00F152ED">
        <w:t xml:space="preserve"> </w:t>
      </w:r>
      <w:r>
        <w:t>Budget overview for Component 1: Tools and Methods for the Nitrogen Cycle (costs by year).</w:t>
      </w:r>
    </w:p>
    <w:p w14:paraId="2D4BE220" w14:textId="77777777" w:rsidR="00175689" w:rsidRPr="000B1C91" w:rsidRDefault="00175689" w:rsidP="00175689">
      <w:pPr>
        <w:pStyle w:val="Heading3"/>
      </w:pPr>
      <w:bookmarkStart w:id="22" w:name="_Toc442303843"/>
      <w:r>
        <w:t>Co-financing</w:t>
      </w:r>
      <w:bookmarkEnd w:id="22"/>
    </w:p>
    <w:p w14:paraId="5604E81B" w14:textId="54482DC9" w:rsidR="00E43EC4" w:rsidRPr="00B01484" w:rsidRDefault="009A578C" w:rsidP="00E43EC4">
      <w:r>
        <w:rPr>
          <w:color w:val="000000" w:themeColor="text1"/>
        </w:rPr>
        <w:t>Information collected and tables to be compiled.</w:t>
      </w:r>
    </w:p>
    <w:p w14:paraId="4E8DA07B" w14:textId="154944BA" w:rsidR="00175689" w:rsidRDefault="00175689" w:rsidP="00175689">
      <w:pPr>
        <w:pStyle w:val="Heading2"/>
      </w:pPr>
      <w:bookmarkStart w:id="23" w:name="_Toc442303844"/>
      <w:r>
        <w:t>Component work</w:t>
      </w:r>
      <w:r w:rsidR="00E43EC4">
        <w:t>-</w:t>
      </w:r>
      <w:r>
        <w:t>plan and timeline</w:t>
      </w:r>
      <w:bookmarkEnd w:id="23"/>
    </w:p>
    <w:p w14:paraId="2A525F02" w14:textId="77777777" w:rsidR="00175689" w:rsidRDefault="00175689" w:rsidP="00175689">
      <w:pPr>
        <w:pStyle w:val="Heading3"/>
      </w:pPr>
      <w:bookmarkStart w:id="24" w:name="_Toc442303845"/>
      <w:r>
        <w:t>Timeline</w:t>
      </w:r>
      <w:bookmarkEnd w:id="24"/>
    </w:p>
    <w:p w14:paraId="4CBF03F8" w14:textId="7D1042B6" w:rsidR="00175689" w:rsidRDefault="00E43EC4" w:rsidP="00E43EC4">
      <w:r>
        <w:t xml:space="preserve">Component 2 operates throughout the duration of the project.  Initial building of the work teams, preparatory reviews and cooperation with Component 1 are key aspect for Year 1, providing the basis to develop and apply the agreed approaches in Year 2 and Year 3.  Year 4 focuses primarily on completion and consolidation of final messages especially in engagement Components 3 and 4.  The activity work-plans show the detailed timing. </w:t>
      </w:r>
    </w:p>
    <w:p w14:paraId="587349F0" w14:textId="77777777" w:rsidR="00E43EC4" w:rsidRPr="00E43EC4" w:rsidRDefault="00E43EC4" w:rsidP="00E43EC4"/>
    <w:p w14:paraId="57082C77" w14:textId="73DC409E" w:rsidR="00175689" w:rsidRDefault="00175689" w:rsidP="00175689">
      <w:pPr>
        <w:pStyle w:val="Heading3"/>
      </w:pPr>
      <w:bookmarkStart w:id="25" w:name="_Toc442303846"/>
      <w:r>
        <w:t>Activity Work</w:t>
      </w:r>
      <w:r w:rsidR="00E43EC4">
        <w:t>-</w:t>
      </w:r>
      <w:r>
        <w:t>plans</w:t>
      </w:r>
      <w:bookmarkEnd w:id="25"/>
    </w:p>
    <w:p w14:paraId="40D8EFC1" w14:textId="1892A115" w:rsidR="008A7D87" w:rsidRDefault="00456F2C" w:rsidP="00E43EC4">
      <w:r>
        <w:fldChar w:fldCharType="begin"/>
      </w:r>
      <w:r>
        <w:instrText xml:space="preserve"> LINK </w:instrText>
      </w:r>
      <w:r w:rsidR="00284B7E">
        <w:instrText xml:space="preserve">Excel.Sheet.12 "C:\\$00 all\\INMS documentation\\Toward INMS PPG\\2015 12 Docs and Discussion\\Copy of Resource INMS allocation 2015 12 20rev.xlsx" "Component 2 (global)!R38C8" </w:instrText>
      </w:r>
      <w:r>
        <w:instrText xml:space="preserve">\a \f 4 \h </w:instrText>
      </w:r>
      <w:r>
        <w:fldChar w:fldCharType="separate"/>
      </w:r>
    </w:p>
    <w:p w14:paraId="02CB17C7" w14:textId="399B8219" w:rsidR="00E43EC4" w:rsidRDefault="00456F2C" w:rsidP="00E43EC4">
      <w:pPr>
        <w:rPr>
          <w:rFonts w:ascii="Arial" w:hAnsi="Arial" w:cs="Arial"/>
          <w:sz w:val="20"/>
          <w:szCs w:val="20"/>
        </w:rPr>
      </w:pPr>
      <w:r>
        <w:rPr>
          <w:i/>
        </w:rPr>
        <w:fldChar w:fldCharType="end"/>
      </w:r>
      <w:r w:rsidR="00E43EC4" w:rsidRPr="009B1188">
        <w:rPr>
          <w:rFonts w:ascii="Arial" w:hAnsi="Arial" w:cs="Arial"/>
          <w:b/>
          <w:bCs/>
          <w:sz w:val="20"/>
          <w:szCs w:val="20"/>
        </w:rPr>
        <w:t>M</w:t>
      </w:r>
      <w:r w:rsidR="00E43EC4">
        <w:rPr>
          <w:rFonts w:ascii="Arial" w:hAnsi="Arial" w:cs="Arial"/>
          <w:sz w:val="20"/>
          <w:szCs w:val="20"/>
        </w:rPr>
        <w:t xml:space="preserve"> = Meeting, </w:t>
      </w:r>
      <w:r w:rsidR="00E43EC4" w:rsidRPr="009B1188">
        <w:rPr>
          <w:rFonts w:ascii="Arial" w:hAnsi="Arial" w:cs="Arial"/>
          <w:b/>
          <w:bCs/>
          <w:sz w:val="20"/>
          <w:szCs w:val="20"/>
        </w:rPr>
        <w:t>R</w:t>
      </w:r>
      <w:r w:rsidR="00E43EC4" w:rsidRPr="007C2A85">
        <w:rPr>
          <w:rFonts w:ascii="Arial" w:hAnsi="Arial" w:cs="Arial"/>
          <w:sz w:val="20"/>
          <w:szCs w:val="20"/>
        </w:rPr>
        <w:t>= Report</w:t>
      </w:r>
      <w:r w:rsidR="00E43EC4">
        <w:rPr>
          <w:rFonts w:ascii="Arial" w:hAnsi="Arial" w:cs="Arial"/>
          <w:sz w:val="20"/>
          <w:szCs w:val="20"/>
        </w:rPr>
        <w:t xml:space="preserve"> (includes other publications)</w:t>
      </w:r>
      <w:r w:rsidR="00E43EC4" w:rsidRPr="007C2A85">
        <w:rPr>
          <w:rFonts w:ascii="Arial" w:hAnsi="Arial" w:cs="Arial"/>
          <w:sz w:val="20"/>
          <w:szCs w:val="20"/>
        </w:rPr>
        <w:t xml:space="preserve">, </w:t>
      </w:r>
      <w:r w:rsidR="00E43EC4" w:rsidRPr="009B1188">
        <w:rPr>
          <w:rFonts w:ascii="Arial" w:hAnsi="Arial" w:cs="Arial"/>
          <w:b/>
          <w:bCs/>
          <w:sz w:val="20"/>
          <w:szCs w:val="20"/>
        </w:rPr>
        <w:t>W</w:t>
      </w:r>
      <w:r w:rsidR="00E43EC4" w:rsidRPr="007C2A85">
        <w:rPr>
          <w:rFonts w:ascii="Arial" w:hAnsi="Arial" w:cs="Arial"/>
          <w:sz w:val="20"/>
          <w:szCs w:val="20"/>
        </w:rPr>
        <w:t xml:space="preserve"> = Workshop</w:t>
      </w:r>
      <w:r w:rsidR="00E43EC4">
        <w:rPr>
          <w:rFonts w:ascii="Arial" w:hAnsi="Arial" w:cs="Arial"/>
          <w:sz w:val="20"/>
          <w:szCs w:val="20"/>
        </w:rPr>
        <w:t xml:space="preserve">, </w:t>
      </w:r>
    </w:p>
    <w:p w14:paraId="445BE736" w14:textId="77777777" w:rsidR="00E43EC4" w:rsidRPr="002C4968" w:rsidRDefault="00E43EC4" w:rsidP="00E43EC4">
      <w:pPr>
        <w:rPr>
          <w:rFonts w:ascii="Arial" w:hAnsi="Arial" w:cs="Arial"/>
          <w:b/>
          <w:bCs/>
          <w:sz w:val="20"/>
          <w:szCs w:val="20"/>
        </w:rPr>
      </w:pPr>
      <w:r>
        <w:rPr>
          <w:rFonts w:ascii="Arial" w:hAnsi="Arial" w:cs="Arial"/>
          <w:b/>
          <w:bCs/>
          <w:sz w:val="20"/>
          <w:szCs w:val="20"/>
        </w:rPr>
        <w:t>[Clare: I did not use the following headings for Component 1:   S</w:t>
      </w:r>
      <w:r>
        <w:rPr>
          <w:rFonts w:ascii="Arial" w:hAnsi="Arial" w:cs="Arial"/>
          <w:sz w:val="20"/>
          <w:szCs w:val="20"/>
        </w:rPr>
        <w:t xml:space="preserve"> = Communication Strategy, </w:t>
      </w:r>
      <w:r>
        <w:rPr>
          <w:rFonts w:ascii="Arial" w:hAnsi="Arial" w:cs="Arial"/>
          <w:b/>
          <w:bCs/>
          <w:sz w:val="20"/>
          <w:szCs w:val="20"/>
        </w:rPr>
        <w:t>MR</w:t>
      </w:r>
      <w:r>
        <w:rPr>
          <w:rFonts w:ascii="Arial" w:hAnsi="Arial" w:cs="Arial"/>
          <w:sz w:val="20"/>
          <w:szCs w:val="20"/>
        </w:rPr>
        <w:t xml:space="preserve"> = Mid-term Report, </w:t>
      </w:r>
      <w:r w:rsidRPr="00222440">
        <w:rPr>
          <w:rFonts w:ascii="Arial" w:hAnsi="Arial" w:cs="Arial"/>
          <w:b/>
          <w:bCs/>
          <w:sz w:val="20"/>
          <w:szCs w:val="20"/>
        </w:rPr>
        <w:t>TR</w:t>
      </w:r>
      <w:r>
        <w:rPr>
          <w:rFonts w:ascii="Arial" w:hAnsi="Arial" w:cs="Arial"/>
          <w:sz w:val="20"/>
          <w:szCs w:val="20"/>
        </w:rPr>
        <w:t xml:space="preserve"> = Terminal Report, </w:t>
      </w:r>
      <w:r>
        <w:rPr>
          <w:rFonts w:ascii="Arial" w:hAnsi="Arial" w:cs="Arial"/>
          <w:b/>
          <w:bCs/>
          <w:sz w:val="20"/>
          <w:szCs w:val="20"/>
        </w:rPr>
        <w:t>I</w:t>
      </w:r>
      <w:r>
        <w:rPr>
          <w:rFonts w:ascii="Arial" w:hAnsi="Arial" w:cs="Arial"/>
          <w:sz w:val="20"/>
          <w:szCs w:val="20"/>
        </w:rPr>
        <w:t xml:space="preserve"> = Project website]</w:t>
      </w:r>
    </w:p>
    <w:p w14:paraId="3B6CD6C7" w14:textId="1229588D" w:rsidR="00E43EC4" w:rsidRDefault="00E43EC4"/>
    <w:p w14:paraId="6E8C2226" w14:textId="77777777" w:rsidR="00175689" w:rsidRDefault="00175689" w:rsidP="00175689"/>
    <w:tbl>
      <w:tblPr>
        <w:tblW w:w="11300" w:type="dxa"/>
        <w:jc w:val="center"/>
        <w:tblLayout w:type="fixed"/>
        <w:tblLook w:val="04A0" w:firstRow="1" w:lastRow="0" w:firstColumn="1" w:lastColumn="0" w:noHBand="0" w:noVBand="1"/>
      </w:tblPr>
      <w:tblGrid>
        <w:gridCol w:w="4857"/>
        <w:gridCol w:w="404"/>
        <w:gridCol w:w="406"/>
        <w:gridCol w:w="406"/>
        <w:gridCol w:w="410"/>
        <w:gridCol w:w="468"/>
        <w:gridCol w:w="372"/>
        <w:gridCol w:w="417"/>
        <w:gridCol w:w="375"/>
        <w:gridCol w:w="468"/>
        <w:gridCol w:w="372"/>
        <w:gridCol w:w="372"/>
        <w:gridCol w:w="376"/>
        <w:gridCol w:w="468"/>
        <w:gridCol w:w="372"/>
        <w:gridCol w:w="372"/>
        <w:gridCol w:w="372"/>
        <w:gridCol w:w="13"/>
      </w:tblGrid>
      <w:tr w:rsidR="002A38BD" w:rsidRPr="00AD6E25" w14:paraId="37BB2BC2" w14:textId="77777777" w:rsidTr="00415B28">
        <w:trPr>
          <w:trHeight w:val="639"/>
          <w:tblHeader/>
          <w:jc w:val="center"/>
        </w:trPr>
        <w:tc>
          <w:tcPr>
            <w:tcW w:w="485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787E8F32" w14:textId="7EFA8CC3" w:rsidR="00175689" w:rsidRPr="00AD6E25" w:rsidRDefault="00A62147" w:rsidP="00415B28">
            <w:pPr>
              <w:spacing w:after="0" w:line="240" w:lineRule="auto"/>
              <w:rPr>
                <w:rFonts w:ascii="Calibri" w:hAnsi="Calibri"/>
                <w:b/>
                <w:bCs/>
                <w:color w:val="FFFFFF"/>
                <w:sz w:val="28"/>
                <w:szCs w:val="28"/>
              </w:rPr>
            </w:pPr>
            <w:r w:rsidRPr="00A62147">
              <w:rPr>
                <w:rFonts w:ascii="Calibri" w:hAnsi="Calibri"/>
                <w:b/>
                <w:bCs/>
                <w:color w:val="FFFFFF"/>
                <w:sz w:val="28"/>
                <w:szCs w:val="28"/>
              </w:rPr>
              <w:t>Activity 2.1 Quantifying N flows, threats and benefits at global and regional scales</w:t>
            </w:r>
          </w:p>
        </w:tc>
        <w:tc>
          <w:tcPr>
            <w:tcW w:w="1626"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2A48794F"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1</w:t>
            </w:r>
          </w:p>
        </w:tc>
        <w:tc>
          <w:tcPr>
            <w:tcW w:w="1632"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3962A730"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2</w:t>
            </w:r>
          </w:p>
        </w:tc>
        <w:tc>
          <w:tcPr>
            <w:tcW w:w="1588"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18B4ADF6"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3</w:t>
            </w:r>
          </w:p>
        </w:tc>
        <w:tc>
          <w:tcPr>
            <w:tcW w:w="1597" w:type="dxa"/>
            <w:gridSpan w:val="5"/>
            <w:tcBorders>
              <w:top w:val="single" w:sz="4" w:space="0" w:color="auto"/>
              <w:left w:val="nil"/>
              <w:bottom w:val="single" w:sz="4" w:space="0" w:color="auto"/>
              <w:right w:val="single" w:sz="4" w:space="0" w:color="auto"/>
            </w:tcBorders>
            <w:shd w:val="clear" w:color="000000" w:fill="305496"/>
            <w:noWrap/>
            <w:vAlign w:val="center"/>
            <w:hideMark/>
          </w:tcPr>
          <w:p w14:paraId="668281D1"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4</w:t>
            </w:r>
          </w:p>
        </w:tc>
      </w:tr>
      <w:tr w:rsidR="002A38BD" w:rsidRPr="00AD6E25" w14:paraId="69587912" w14:textId="77777777" w:rsidTr="00415B28">
        <w:trPr>
          <w:gridAfter w:val="1"/>
          <w:wAfter w:w="13" w:type="dxa"/>
          <w:trHeight w:val="365"/>
          <w:tblHeader/>
          <w:jc w:val="center"/>
        </w:trPr>
        <w:tc>
          <w:tcPr>
            <w:tcW w:w="485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228A7C7B" w14:textId="77777777" w:rsidR="00175689" w:rsidRPr="00AD6E25" w:rsidRDefault="00175689" w:rsidP="00415B28">
            <w:pPr>
              <w:spacing w:after="0" w:line="240" w:lineRule="auto"/>
              <w:rPr>
                <w:color w:val="000000"/>
              </w:rPr>
            </w:pPr>
            <w:r w:rsidRPr="00AD6E25">
              <w:rPr>
                <w:color w:val="000000"/>
              </w:rPr>
              <w:t> </w:t>
            </w:r>
          </w:p>
        </w:tc>
        <w:tc>
          <w:tcPr>
            <w:tcW w:w="404" w:type="dxa"/>
            <w:tcBorders>
              <w:top w:val="single" w:sz="4" w:space="0" w:color="auto"/>
              <w:left w:val="nil"/>
              <w:bottom w:val="single" w:sz="4" w:space="0" w:color="auto"/>
              <w:right w:val="single" w:sz="4" w:space="0" w:color="auto"/>
            </w:tcBorders>
            <w:shd w:val="clear" w:color="000000" w:fill="305496"/>
            <w:noWrap/>
            <w:vAlign w:val="center"/>
            <w:hideMark/>
          </w:tcPr>
          <w:p w14:paraId="35D64DB5"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Q1</w:t>
            </w:r>
          </w:p>
        </w:tc>
        <w:tc>
          <w:tcPr>
            <w:tcW w:w="406" w:type="dxa"/>
            <w:tcBorders>
              <w:top w:val="nil"/>
              <w:left w:val="nil"/>
              <w:bottom w:val="single" w:sz="4" w:space="0" w:color="auto"/>
              <w:right w:val="single" w:sz="4" w:space="0" w:color="auto"/>
            </w:tcBorders>
            <w:shd w:val="clear" w:color="000000" w:fill="305496"/>
            <w:noWrap/>
            <w:vAlign w:val="center"/>
            <w:hideMark/>
          </w:tcPr>
          <w:p w14:paraId="796FD61E"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406" w:type="dxa"/>
            <w:tcBorders>
              <w:top w:val="nil"/>
              <w:left w:val="nil"/>
              <w:bottom w:val="single" w:sz="4" w:space="0" w:color="auto"/>
              <w:right w:val="single" w:sz="4" w:space="0" w:color="auto"/>
            </w:tcBorders>
            <w:shd w:val="clear" w:color="000000" w:fill="305496"/>
            <w:noWrap/>
            <w:vAlign w:val="center"/>
            <w:hideMark/>
          </w:tcPr>
          <w:p w14:paraId="52763409"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410" w:type="dxa"/>
            <w:tcBorders>
              <w:top w:val="nil"/>
              <w:left w:val="nil"/>
              <w:bottom w:val="single" w:sz="4" w:space="0" w:color="auto"/>
              <w:right w:val="single" w:sz="4" w:space="0" w:color="auto"/>
            </w:tcBorders>
            <w:shd w:val="clear" w:color="000000" w:fill="305496"/>
            <w:noWrap/>
            <w:vAlign w:val="center"/>
            <w:hideMark/>
          </w:tcPr>
          <w:p w14:paraId="1BB70FEB"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58EA6B42" w14:textId="2385ADE6"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3421A85B"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417" w:type="dxa"/>
            <w:tcBorders>
              <w:top w:val="nil"/>
              <w:left w:val="nil"/>
              <w:bottom w:val="single" w:sz="4" w:space="0" w:color="auto"/>
              <w:right w:val="single" w:sz="4" w:space="0" w:color="auto"/>
            </w:tcBorders>
            <w:shd w:val="clear" w:color="000000" w:fill="305496"/>
            <w:noWrap/>
            <w:vAlign w:val="center"/>
            <w:hideMark/>
          </w:tcPr>
          <w:p w14:paraId="0A447BAF"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5" w:type="dxa"/>
            <w:tcBorders>
              <w:top w:val="nil"/>
              <w:left w:val="nil"/>
              <w:bottom w:val="single" w:sz="4" w:space="0" w:color="auto"/>
              <w:right w:val="single" w:sz="4" w:space="0" w:color="auto"/>
            </w:tcBorders>
            <w:shd w:val="clear" w:color="000000" w:fill="305496"/>
            <w:noWrap/>
            <w:vAlign w:val="center"/>
            <w:hideMark/>
          </w:tcPr>
          <w:p w14:paraId="0049AD23"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2583D2E9" w14:textId="28A43A81"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4D3EFB27"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372" w:type="dxa"/>
            <w:tcBorders>
              <w:top w:val="nil"/>
              <w:left w:val="nil"/>
              <w:bottom w:val="single" w:sz="4" w:space="0" w:color="auto"/>
              <w:right w:val="single" w:sz="4" w:space="0" w:color="auto"/>
            </w:tcBorders>
            <w:shd w:val="clear" w:color="000000" w:fill="305496"/>
            <w:noWrap/>
            <w:vAlign w:val="center"/>
            <w:hideMark/>
          </w:tcPr>
          <w:p w14:paraId="0435EC7A"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6" w:type="dxa"/>
            <w:tcBorders>
              <w:top w:val="nil"/>
              <w:left w:val="nil"/>
              <w:bottom w:val="single" w:sz="4" w:space="0" w:color="auto"/>
              <w:right w:val="single" w:sz="4" w:space="0" w:color="auto"/>
            </w:tcBorders>
            <w:shd w:val="clear" w:color="000000" w:fill="305496"/>
            <w:noWrap/>
            <w:vAlign w:val="center"/>
            <w:hideMark/>
          </w:tcPr>
          <w:p w14:paraId="23BDA79D"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3DD3FAB7" w14:textId="5A6D27FF"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08461FAB"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372" w:type="dxa"/>
            <w:tcBorders>
              <w:top w:val="nil"/>
              <w:left w:val="nil"/>
              <w:bottom w:val="single" w:sz="4" w:space="0" w:color="auto"/>
              <w:right w:val="single" w:sz="4" w:space="0" w:color="auto"/>
            </w:tcBorders>
            <w:shd w:val="clear" w:color="000000" w:fill="305496"/>
            <w:noWrap/>
            <w:vAlign w:val="center"/>
            <w:hideMark/>
          </w:tcPr>
          <w:p w14:paraId="053986CA"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2" w:type="dxa"/>
            <w:tcBorders>
              <w:top w:val="nil"/>
              <w:left w:val="nil"/>
              <w:bottom w:val="single" w:sz="4" w:space="0" w:color="auto"/>
              <w:right w:val="single" w:sz="4" w:space="0" w:color="auto"/>
            </w:tcBorders>
            <w:shd w:val="clear" w:color="000000" w:fill="305496"/>
            <w:noWrap/>
            <w:vAlign w:val="center"/>
            <w:hideMark/>
          </w:tcPr>
          <w:p w14:paraId="0AF4B88C"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r>
      <w:tr w:rsidR="002A38BD" w:rsidRPr="00AD6E25" w14:paraId="1F58E284" w14:textId="77777777" w:rsidTr="00456F2C">
        <w:trPr>
          <w:gridAfter w:val="1"/>
          <w:wAfter w:w="13" w:type="dxa"/>
          <w:trHeight w:val="876"/>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06F99765" w14:textId="3DD9D2F8" w:rsidR="00A62147" w:rsidRPr="00833990" w:rsidRDefault="00A62147" w:rsidP="00A62147">
            <w:pPr>
              <w:spacing w:after="0" w:line="240" w:lineRule="auto"/>
              <w:rPr>
                <w:b/>
                <w:bCs/>
                <w:color w:val="000000"/>
                <w:sz w:val="18"/>
                <w:szCs w:val="18"/>
              </w:rPr>
            </w:pPr>
            <w:r w:rsidRPr="00A62147">
              <w:rPr>
                <w:b/>
                <w:bCs/>
                <w:color w:val="000000"/>
                <w:sz w:val="18"/>
                <w:szCs w:val="18"/>
              </w:rPr>
              <w:t>Task 2.1.1 Database of shared input, model outcomes &amp; access to measurements</w:t>
            </w:r>
          </w:p>
        </w:tc>
        <w:tc>
          <w:tcPr>
            <w:tcW w:w="404" w:type="dxa"/>
            <w:tcBorders>
              <w:top w:val="single" w:sz="4" w:space="0" w:color="auto"/>
              <w:left w:val="single" w:sz="4" w:space="0" w:color="auto"/>
              <w:bottom w:val="single" w:sz="4" w:space="0" w:color="auto"/>
              <w:right w:val="single" w:sz="4" w:space="0" w:color="auto"/>
            </w:tcBorders>
            <w:shd w:val="clear" w:color="auto" w:fill="D99694"/>
            <w:noWrap/>
            <w:vAlign w:val="center"/>
          </w:tcPr>
          <w:p w14:paraId="3031C39A" w14:textId="77777777" w:rsidR="00A62147" w:rsidRPr="00456F2C"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D99694"/>
            <w:noWrap/>
            <w:vAlign w:val="center"/>
          </w:tcPr>
          <w:p w14:paraId="0029B07C" w14:textId="77088F2D" w:rsidR="00A62147" w:rsidRPr="00456F2C" w:rsidRDefault="00E63547" w:rsidP="00A62147">
            <w:pPr>
              <w:spacing w:after="0" w:line="240" w:lineRule="auto"/>
              <w:rPr>
                <w:rFonts w:ascii="Calibri" w:hAnsi="Calibri"/>
                <w:b/>
                <w:bCs/>
                <w:color w:val="000000"/>
                <w:sz w:val="18"/>
                <w:szCs w:val="18"/>
              </w:rPr>
            </w:pPr>
            <w:r w:rsidRPr="00E63547">
              <w:rPr>
                <w:rFonts w:ascii="Calibri" w:hAnsi="Calibri"/>
                <w:b/>
                <w:bCs/>
                <w:color w:val="000000"/>
                <w:szCs w:val="18"/>
              </w:rPr>
              <w:t>W</w:t>
            </w:r>
          </w:p>
        </w:tc>
        <w:tc>
          <w:tcPr>
            <w:tcW w:w="406" w:type="dxa"/>
            <w:tcBorders>
              <w:top w:val="nil"/>
              <w:left w:val="nil"/>
              <w:bottom w:val="single" w:sz="4" w:space="0" w:color="auto"/>
              <w:right w:val="single" w:sz="4" w:space="0" w:color="auto"/>
            </w:tcBorders>
            <w:shd w:val="clear" w:color="auto" w:fill="D99694"/>
            <w:noWrap/>
            <w:vAlign w:val="center"/>
          </w:tcPr>
          <w:p w14:paraId="5A6427BD" w14:textId="77777777" w:rsidR="00A62147" w:rsidRPr="00456F2C" w:rsidRDefault="00A62147" w:rsidP="00A62147">
            <w:pPr>
              <w:spacing w:after="0" w:line="240" w:lineRule="auto"/>
              <w:rPr>
                <w:rFonts w:ascii="Calibri" w:hAnsi="Calibri"/>
                <w:b/>
                <w:bCs/>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4F555B52" w14:textId="1DDAD89E" w:rsidR="00A62147" w:rsidRPr="00456F2C" w:rsidRDefault="00456F2C" w:rsidP="00A62147">
            <w:pPr>
              <w:spacing w:after="0" w:line="240" w:lineRule="auto"/>
              <w:rPr>
                <w:rFonts w:ascii="Calibri" w:hAnsi="Calibri"/>
                <w:b/>
                <w:bCs/>
                <w:color w:val="000000"/>
                <w:sz w:val="18"/>
                <w:szCs w:val="18"/>
              </w:rPr>
            </w:pPr>
            <w:r w:rsidRPr="00456F2C">
              <w:rPr>
                <w:rFonts w:ascii="Calibri" w:hAnsi="Calibri"/>
                <w:b/>
                <w:bCs/>
                <w:color w:val="000000"/>
                <w:sz w:val="18"/>
                <w:szCs w:val="18"/>
              </w:rPr>
              <w:t>R</w:t>
            </w:r>
          </w:p>
        </w:tc>
        <w:tc>
          <w:tcPr>
            <w:tcW w:w="468" w:type="dxa"/>
            <w:tcBorders>
              <w:top w:val="nil"/>
              <w:left w:val="nil"/>
              <w:bottom w:val="single" w:sz="4" w:space="0" w:color="auto"/>
              <w:right w:val="single" w:sz="4" w:space="0" w:color="auto"/>
            </w:tcBorders>
            <w:shd w:val="clear" w:color="auto" w:fill="D99694"/>
            <w:noWrap/>
            <w:vAlign w:val="center"/>
          </w:tcPr>
          <w:p w14:paraId="189D42F7" w14:textId="77777777" w:rsidR="00A62147" w:rsidRPr="00456F2C"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641EBFF7" w14:textId="6FB4EF93" w:rsidR="00A62147" w:rsidRPr="00456F2C" w:rsidRDefault="00456F2C" w:rsidP="00A62147">
            <w:pPr>
              <w:spacing w:after="0" w:line="240" w:lineRule="auto"/>
              <w:rPr>
                <w:rFonts w:ascii="Calibri" w:hAnsi="Calibri"/>
                <w:b/>
                <w:bCs/>
                <w:color w:val="000000"/>
                <w:sz w:val="18"/>
                <w:szCs w:val="18"/>
              </w:rPr>
            </w:pPr>
            <w:r w:rsidRPr="00456F2C">
              <w:rPr>
                <w:rFonts w:ascii="Calibri" w:hAnsi="Calibri"/>
                <w:b/>
                <w:bCs/>
                <w:color w:val="000000"/>
                <w:sz w:val="18"/>
                <w:szCs w:val="18"/>
              </w:rPr>
              <w:t>R</w:t>
            </w:r>
          </w:p>
        </w:tc>
        <w:tc>
          <w:tcPr>
            <w:tcW w:w="417" w:type="dxa"/>
            <w:tcBorders>
              <w:top w:val="nil"/>
              <w:left w:val="nil"/>
              <w:bottom w:val="single" w:sz="4" w:space="0" w:color="auto"/>
              <w:right w:val="single" w:sz="4" w:space="0" w:color="auto"/>
            </w:tcBorders>
            <w:shd w:val="clear" w:color="auto" w:fill="auto"/>
            <w:noWrap/>
            <w:vAlign w:val="center"/>
          </w:tcPr>
          <w:p w14:paraId="0AB75674" w14:textId="77777777" w:rsidR="00A62147" w:rsidRPr="00456F2C" w:rsidRDefault="00A62147" w:rsidP="00A62147">
            <w:pPr>
              <w:spacing w:after="0" w:line="240" w:lineRule="auto"/>
              <w:jc w:val="center"/>
              <w:rPr>
                <w:rFonts w:ascii="Calibri" w:hAnsi="Calibri"/>
                <w:b/>
                <w:bCs/>
                <w:color w:val="000000"/>
                <w:sz w:val="18"/>
                <w:szCs w:val="18"/>
              </w:rPr>
            </w:pPr>
          </w:p>
        </w:tc>
        <w:tc>
          <w:tcPr>
            <w:tcW w:w="375" w:type="dxa"/>
            <w:tcBorders>
              <w:top w:val="nil"/>
              <w:left w:val="nil"/>
              <w:bottom w:val="single" w:sz="4" w:space="0" w:color="auto"/>
              <w:right w:val="single" w:sz="4" w:space="0" w:color="auto"/>
            </w:tcBorders>
            <w:shd w:val="clear" w:color="auto" w:fill="auto"/>
            <w:noWrap/>
            <w:vAlign w:val="center"/>
          </w:tcPr>
          <w:p w14:paraId="367C4CF3" w14:textId="77777777" w:rsidR="00A62147" w:rsidRPr="00456F2C"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59A0D194" w14:textId="77777777" w:rsidR="00A62147" w:rsidRPr="00456F2C"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099509AA" w14:textId="77777777" w:rsidR="00A62147" w:rsidRPr="00456F2C"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5A06BA4" w14:textId="77777777" w:rsidR="00A62147" w:rsidRPr="00456F2C" w:rsidRDefault="00A62147" w:rsidP="00A62147">
            <w:pPr>
              <w:spacing w:after="0" w:line="240" w:lineRule="auto"/>
              <w:rPr>
                <w:rFonts w:ascii="Calibri" w:hAnsi="Calibri"/>
                <w:b/>
                <w:bCs/>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664E44D9" w14:textId="77777777" w:rsidR="00A62147" w:rsidRPr="00456F2C"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63B4239A" w14:textId="77777777" w:rsidR="00A62147" w:rsidRPr="00456F2C"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10C6C4EF" w14:textId="77777777" w:rsidR="00A62147" w:rsidRPr="00456F2C"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47DAD36" w14:textId="77777777" w:rsidR="00A62147" w:rsidRPr="00456F2C"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46AC6C9" w14:textId="77777777" w:rsidR="00A62147" w:rsidRPr="00456F2C" w:rsidRDefault="00A62147" w:rsidP="00A62147">
            <w:pPr>
              <w:spacing w:after="0" w:line="240" w:lineRule="auto"/>
              <w:rPr>
                <w:rFonts w:ascii="Calibri" w:hAnsi="Calibri"/>
                <w:b/>
                <w:bCs/>
                <w:color w:val="000000"/>
                <w:sz w:val="18"/>
                <w:szCs w:val="18"/>
              </w:rPr>
            </w:pPr>
          </w:p>
        </w:tc>
      </w:tr>
      <w:tr w:rsidR="002A38BD" w:rsidRPr="00AD6E25" w14:paraId="2040D8BC" w14:textId="77777777" w:rsidTr="00456F2C">
        <w:trPr>
          <w:gridAfter w:val="1"/>
          <w:wAfter w:w="13" w:type="dxa"/>
          <w:trHeight w:val="798"/>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3F4F7223" w14:textId="687F4504" w:rsidR="00A62147" w:rsidRPr="00833990" w:rsidRDefault="00A62147" w:rsidP="00A62147">
            <w:pPr>
              <w:spacing w:after="0" w:line="240" w:lineRule="auto"/>
              <w:rPr>
                <w:b/>
                <w:bCs/>
                <w:color w:val="000000"/>
                <w:sz w:val="18"/>
                <w:szCs w:val="18"/>
              </w:rPr>
            </w:pPr>
            <w:r w:rsidRPr="00A62147">
              <w:rPr>
                <w:b/>
                <w:bCs/>
                <w:color w:val="000000"/>
                <w:sz w:val="18"/>
                <w:szCs w:val="18"/>
              </w:rPr>
              <w:t>Task 2.1.2 International support to regional inventories &amp; model application</w:t>
            </w:r>
          </w:p>
        </w:tc>
        <w:tc>
          <w:tcPr>
            <w:tcW w:w="404" w:type="dxa"/>
            <w:tcBorders>
              <w:top w:val="single" w:sz="4" w:space="0" w:color="auto"/>
              <w:left w:val="single" w:sz="4" w:space="0" w:color="auto"/>
              <w:bottom w:val="single" w:sz="4" w:space="0" w:color="auto"/>
              <w:right w:val="single" w:sz="4" w:space="0" w:color="auto"/>
            </w:tcBorders>
            <w:shd w:val="clear" w:color="auto" w:fill="D99694"/>
            <w:noWrap/>
            <w:vAlign w:val="center"/>
          </w:tcPr>
          <w:p w14:paraId="65DA80E7" w14:textId="6839E4C4" w:rsidR="00A62147" w:rsidRPr="00456F2C"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D99694"/>
            <w:noWrap/>
            <w:vAlign w:val="center"/>
          </w:tcPr>
          <w:p w14:paraId="0A90161B" w14:textId="7120FCEF" w:rsidR="00A62147" w:rsidRPr="00456F2C" w:rsidRDefault="00456F2C" w:rsidP="00A62147">
            <w:pPr>
              <w:spacing w:after="0" w:line="240" w:lineRule="auto"/>
              <w:rPr>
                <w:rFonts w:ascii="Calibri" w:hAnsi="Calibri"/>
                <w:b/>
                <w:bCs/>
                <w:color w:val="000000"/>
                <w:sz w:val="18"/>
                <w:szCs w:val="18"/>
              </w:rPr>
            </w:pPr>
            <w:r w:rsidRPr="00456F2C">
              <w:rPr>
                <w:rFonts w:ascii="Calibri" w:hAnsi="Calibri"/>
                <w:b/>
                <w:bCs/>
                <w:color w:val="000000"/>
                <w:sz w:val="18"/>
                <w:szCs w:val="18"/>
              </w:rPr>
              <w:t>M</w:t>
            </w:r>
          </w:p>
        </w:tc>
        <w:tc>
          <w:tcPr>
            <w:tcW w:w="406" w:type="dxa"/>
            <w:tcBorders>
              <w:top w:val="nil"/>
              <w:left w:val="nil"/>
              <w:bottom w:val="single" w:sz="4" w:space="0" w:color="auto"/>
              <w:right w:val="single" w:sz="4" w:space="0" w:color="auto"/>
            </w:tcBorders>
            <w:shd w:val="clear" w:color="auto" w:fill="D99694"/>
            <w:noWrap/>
            <w:vAlign w:val="center"/>
          </w:tcPr>
          <w:p w14:paraId="54ACCAC5" w14:textId="77777777" w:rsidR="00A62147" w:rsidRPr="00456F2C" w:rsidRDefault="00A62147" w:rsidP="00A62147">
            <w:pPr>
              <w:spacing w:after="0" w:line="240" w:lineRule="auto"/>
              <w:rPr>
                <w:rFonts w:ascii="Calibri" w:hAnsi="Calibri"/>
                <w:b/>
                <w:bCs/>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03EBD3EB" w14:textId="77777777" w:rsidR="00A62147" w:rsidRPr="00456F2C"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092D8483" w14:textId="77777777" w:rsidR="00A62147" w:rsidRPr="00456F2C"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32415A86" w14:textId="436789B2" w:rsidR="00A62147" w:rsidRPr="00456F2C" w:rsidRDefault="00456F2C" w:rsidP="00A62147">
            <w:pPr>
              <w:spacing w:after="0" w:line="240" w:lineRule="auto"/>
              <w:rPr>
                <w:rFonts w:ascii="Calibri" w:hAnsi="Calibri"/>
                <w:b/>
                <w:bCs/>
                <w:color w:val="000000"/>
                <w:sz w:val="18"/>
                <w:szCs w:val="18"/>
              </w:rPr>
            </w:pPr>
            <w:r w:rsidRPr="00456F2C">
              <w:rPr>
                <w:rFonts w:ascii="Calibri" w:hAnsi="Calibri"/>
                <w:b/>
                <w:bCs/>
                <w:color w:val="000000"/>
                <w:sz w:val="18"/>
                <w:szCs w:val="18"/>
              </w:rPr>
              <w:t>R</w:t>
            </w:r>
          </w:p>
        </w:tc>
        <w:tc>
          <w:tcPr>
            <w:tcW w:w="417" w:type="dxa"/>
            <w:tcBorders>
              <w:top w:val="nil"/>
              <w:left w:val="nil"/>
              <w:bottom w:val="single" w:sz="4" w:space="0" w:color="auto"/>
              <w:right w:val="single" w:sz="4" w:space="0" w:color="auto"/>
            </w:tcBorders>
            <w:shd w:val="clear" w:color="auto" w:fill="D99694"/>
            <w:noWrap/>
            <w:vAlign w:val="center"/>
          </w:tcPr>
          <w:p w14:paraId="103AA4B8" w14:textId="77777777" w:rsidR="00A62147" w:rsidRPr="00456F2C" w:rsidRDefault="00A62147" w:rsidP="00A62147">
            <w:pPr>
              <w:spacing w:after="0" w:line="240" w:lineRule="auto"/>
              <w:rPr>
                <w:rFonts w:ascii="Calibri" w:hAnsi="Calibri"/>
                <w:b/>
                <w:bCs/>
                <w:color w:val="000000"/>
                <w:sz w:val="18"/>
                <w:szCs w:val="18"/>
              </w:rPr>
            </w:pPr>
          </w:p>
        </w:tc>
        <w:tc>
          <w:tcPr>
            <w:tcW w:w="375" w:type="dxa"/>
            <w:tcBorders>
              <w:top w:val="nil"/>
              <w:left w:val="nil"/>
              <w:bottom w:val="single" w:sz="4" w:space="0" w:color="auto"/>
              <w:right w:val="single" w:sz="4" w:space="0" w:color="auto"/>
            </w:tcBorders>
            <w:shd w:val="clear" w:color="auto" w:fill="D99694"/>
            <w:noWrap/>
            <w:vAlign w:val="center"/>
          </w:tcPr>
          <w:p w14:paraId="34CDD8BF" w14:textId="77777777" w:rsidR="00A62147" w:rsidRPr="00456F2C"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5800F02D" w14:textId="77777777" w:rsidR="00A62147" w:rsidRPr="00456F2C"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370AD18E" w14:textId="761A4548" w:rsidR="00A62147" w:rsidRPr="00456F2C" w:rsidRDefault="00456F2C" w:rsidP="00A62147">
            <w:pPr>
              <w:spacing w:after="0" w:line="240" w:lineRule="auto"/>
              <w:rPr>
                <w:rFonts w:ascii="Calibri" w:hAnsi="Calibri"/>
                <w:b/>
                <w:bCs/>
                <w:color w:val="000000"/>
                <w:sz w:val="18"/>
                <w:szCs w:val="18"/>
              </w:rPr>
            </w:pPr>
            <w:r w:rsidRPr="00456F2C">
              <w:rPr>
                <w:rFonts w:ascii="Calibri" w:hAnsi="Calibri"/>
                <w:b/>
                <w:bCs/>
                <w:color w:val="000000"/>
                <w:sz w:val="18"/>
                <w:szCs w:val="18"/>
              </w:rPr>
              <w:t>R</w:t>
            </w:r>
          </w:p>
        </w:tc>
        <w:tc>
          <w:tcPr>
            <w:tcW w:w="372" w:type="dxa"/>
            <w:tcBorders>
              <w:top w:val="nil"/>
              <w:left w:val="nil"/>
              <w:bottom w:val="single" w:sz="4" w:space="0" w:color="auto"/>
              <w:right w:val="single" w:sz="4" w:space="0" w:color="auto"/>
            </w:tcBorders>
            <w:shd w:val="clear" w:color="auto" w:fill="D99694"/>
            <w:noWrap/>
            <w:vAlign w:val="center"/>
          </w:tcPr>
          <w:p w14:paraId="3515FAF2" w14:textId="77777777" w:rsidR="00A62147" w:rsidRPr="00456F2C" w:rsidRDefault="00A62147" w:rsidP="00A62147">
            <w:pPr>
              <w:spacing w:after="0" w:line="240" w:lineRule="auto"/>
              <w:rPr>
                <w:rFonts w:ascii="Calibri" w:hAnsi="Calibri"/>
                <w:b/>
                <w:bCs/>
                <w:color w:val="000000"/>
                <w:sz w:val="18"/>
                <w:szCs w:val="18"/>
              </w:rPr>
            </w:pPr>
          </w:p>
        </w:tc>
        <w:tc>
          <w:tcPr>
            <w:tcW w:w="376" w:type="dxa"/>
            <w:tcBorders>
              <w:top w:val="nil"/>
              <w:left w:val="nil"/>
              <w:bottom w:val="single" w:sz="4" w:space="0" w:color="auto"/>
              <w:right w:val="single" w:sz="4" w:space="0" w:color="auto"/>
            </w:tcBorders>
            <w:shd w:val="clear" w:color="auto" w:fill="D99694"/>
            <w:noWrap/>
            <w:vAlign w:val="center"/>
          </w:tcPr>
          <w:p w14:paraId="2748DEE5" w14:textId="77777777" w:rsidR="00A62147" w:rsidRPr="00456F2C"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319BCDE2" w14:textId="77777777" w:rsidR="00A62147" w:rsidRPr="00456F2C"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41363703" w14:textId="68E0D044" w:rsidR="00A62147" w:rsidRPr="00456F2C" w:rsidRDefault="00456F2C" w:rsidP="00A62147">
            <w:pPr>
              <w:spacing w:after="0" w:line="240" w:lineRule="auto"/>
              <w:rPr>
                <w:rFonts w:ascii="Calibri" w:hAnsi="Calibri"/>
                <w:b/>
                <w:bCs/>
                <w:color w:val="000000"/>
                <w:sz w:val="18"/>
                <w:szCs w:val="18"/>
              </w:rPr>
            </w:pPr>
            <w:r w:rsidRPr="00456F2C">
              <w:rPr>
                <w:rFonts w:ascii="Calibri" w:hAnsi="Calibri"/>
                <w:b/>
                <w:bCs/>
                <w:color w:val="000000"/>
                <w:sz w:val="18"/>
                <w:szCs w:val="18"/>
              </w:rPr>
              <w:t>R</w:t>
            </w:r>
          </w:p>
        </w:tc>
        <w:tc>
          <w:tcPr>
            <w:tcW w:w="372" w:type="dxa"/>
            <w:tcBorders>
              <w:top w:val="nil"/>
              <w:left w:val="nil"/>
              <w:bottom w:val="single" w:sz="4" w:space="0" w:color="auto"/>
              <w:right w:val="single" w:sz="4" w:space="0" w:color="auto"/>
            </w:tcBorders>
            <w:shd w:val="clear" w:color="auto" w:fill="auto"/>
            <w:noWrap/>
            <w:vAlign w:val="center"/>
          </w:tcPr>
          <w:p w14:paraId="57E934BF" w14:textId="77777777" w:rsidR="00A62147" w:rsidRPr="00456F2C"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2899683E" w14:textId="77777777" w:rsidR="00A62147" w:rsidRPr="00456F2C" w:rsidRDefault="00A62147" w:rsidP="00A62147">
            <w:pPr>
              <w:spacing w:after="0" w:line="240" w:lineRule="auto"/>
              <w:rPr>
                <w:rFonts w:ascii="Calibri" w:hAnsi="Calibri"/>
                <w:b/>
                <w:bCs/>
                <w:color w:val="000000"/>
                <w:sz w:val="18"/>
                <w:szCs w:val="18"/>
              </w:rPr>
            </w:pPr>
          </w:p>
        </w:tc>
      </w:tr>
      <w:tr w:rsidR="002A38BD" w:rsidRPr="00AD6E25" w14:paraId="207B78A5" w14:textId="77777777" w:rsidTr="00456F2C">
        <w:trPr>
          <w:gridAfter w:val="1"/>
          <w:wAfter w:w="13" w:type="dxa"/>
          <w:trHeight w:val="365"/>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74EB390D" w14:textId="77777777" w:rsidR="00A62147" w:rsidRDefault="00A62147" w:rsidP="00A62147">
            <w:pPr>
              <w:spacing w:after="0" w:line="240" w:lineRule="auto"/>
              <w:rPr>
                <w:b/>
                <w:bCs/>
                <w:color w:val="000000"/>
                <w:sz w:val="18"/>
                <w:szCs w:val="18"/>
              </w:rPr>
            </w:pPr>
            <w:r w:rsidRPr="00A62147">
              <w:rPr>
                <w:b/>
                <w:bCs/>
                <w:color w:val="000000"/>
                <w:sz w:val="18"/>
                <w:szCs w:val="18"/>
              </w:rPr>
              <w:t>Task 2.1.3 Combined analysis of present N flows and impacts at global and regional scales</w:t>
            </w:r>
          </w:p>
          <w:p w14:paraId="7CA76C5D" w14:textId="75878AE2" w:rsidR="00A62147" w:rsidRPr="00833990" w:rsidRDefault="00A62147" w:rsidP="00A62147">
            <w:pPr>
              <w:spacing w:after="0" w:line="240" w:lineRule="auto"/>
              <w:rPr>
                <w:b/>
                <w:bCs/>
                <w:color w:val="000000"/>
                <w:sz w:val="18"/>
                <w:szCs w:val="18"/>
              </w:rPr>
            </w:pP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526D1" w14:textId="77777777" w:rsidR="00A62147" w:rsidRPr="00456F2C"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00DF03A9" w14:textId="77777777" w:rsidR="00A62147" w:rsidRPr="00456F2C" w:rsidRDefault="00A62147" w:rsidP="00A62147">
            <w:pPr>
              <w:spacing w:after="0" w:line="240" w:lineRule="auto"/>
              <w:rPr>
                <w:rFonts w:ascii="Calibri" w:hAnsi="Calibri"/>
                <w:b/>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069C14CF" w14:textId="77777777" w:rsidR="00A62147" w:rsidRPr="00456F2C" w:rsidRDefault="00A62147" w:rsidP="00A62147">
            <w:pPr>
              <w:spacing w:after="0" w:line="240" w:lineRule="auto"/>
              <w:rPr>
                <w:rFonts w:ascii="Calibri" w:hAnsi="Calibri"/>
                <w:b/>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2CD6F556" w14:textId="77777777" w:rsidR="00A62147" w:rsidRPr="00456F2C" w:rsidRDefault="00A62147" w:rsidP="00A62147">
            <w:pPr>
              <w:spacing w:after="0" w:line="240" w:lineRule="auto"/>
              <w:rPr>
                <w:rFonts w:ascii="Calibri" w:hAnsi="Calibri"/>
                <w:b/>
                <w:color w:val="FF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4D8EA2B1" w14:textId="77777777" w:rsidR="00A62147" w:rsidRPr="00456F2C"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74042E8F" w14:textId="739DF68A" w:rsidR="00A62147" w:rsidRPr="00456F2C" w:rsidRDefault="00E351C0" w:rsidP="00A62147">
            <w:pPr>
              <w:spacing w:after="0" w:line="240" w:lineRule="auto"/>
              <w:rPr>
                <w:rFonts w:ascii="Calibri" w:hAnsi="Calibri"/>
                <w:b/>
                <w:color w:val="000000"/>
                <w:sz w:val="18"/>
                <w:szCs w:val="18"/>
              </w:rPr>
            </w:pPr>
            <w:r w:rsidRPr="00E351C0">
              <w:rPr>
                <w:rFonts w:ascii="Calibri" w:hAnsi="Calibri"/>
                <w:b/>
                <w:color w:val="000000"/>
                <w:szCs w:val="18"/>
              </w:rPr>
              <w:t>W</w:t>
            </w:r>
          </w:p>
        </w:tc>
        <w:tc>
          <w:tcPr>
            <w:tcW w:w="417" w:type="dxa"/>
            <w:tcBorders>
              <w:top w:val="nil"/>
              <w:left w:val="nil"/>
              <w:bottom w:val="single" w:sz="4" w:space="0" w:color="auto"/>
              <w:right w:val="single" w:sz="4" w:space="0" w:color="auto"/>
            </w:tcBorders>
            <w:shd w:val="clear" w:color="auto" w:fill="D99694"/>
            <w:noWrap/>
            <w:vAlign w:val="center"/>
          </w:tcPr>
          <w:p w14:paraId="5F7B2CC4" w14:textId="77777777" w:rsidR="00A62147" w:rsidRPr="00456F2C" w:rsidRDefault="00A62147" w:rsidP="00A62147">
            <w:pPr>
              <w:spacing w:after="0" w:line="240" w:lineRule="auto"/>
              <w:rPr>
                <w:rFonts w:ascii="Calibri" w:hAnsi="Calibri"/>
                <w:b/>
                <w:color w:val="000000"/>
                <w:sz w:val="18"/>
                <w:szCs w:val="18"/>
                <w:vertAlign w:val="superscript"/>
              </w:rPr>
            </w:pPr>
          </w:p>
        </w:tc>
        <w:tc>
          <w:tcPr>
            <w:tcW w:w="375" w:type="dxa"/>
            <w:tcBorders>
              <w:top w:val="nil"/>
              <w:left w:val="nil"/>
              <w:bottom w:val="single" w:sz="4" w:space="0" w:color="auto"/>
              <w:right w:val="single" w:sz="4" w:space="0" w:color="auto"/>
            </w:tcBorders>
            <w:shd w:val="clear" w:color="auto" w:fill="D99694"/>
            <w:noWrap/>
            <w:vAlign w:val="center"/>
          </w:tcPr>
          <w:p w14:paraId="13714F1F" w14:textId="4DFBC526" w:rsidR="00A62147" w:rsidRPr="00456F2C" w:rsidRDefault="00A62147" w:rsidP="00A62147">
            <w:pPr>
              <w:spacing w:after="0" w:line="240" w:lineRule="auto"/>
              <w:rPr>
                <w:rFonts w:ascii="Calibri" w:hAnsi="Calibri"/>
                <w:b/>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7CF50BA9" w14:textId="2EA789B7" w:rsidR="00A62147" w:rsidRPr="00456F2C"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5FCD4376" w14:textId="30ED7048" w:rsidR="00A62147" w:rsidRPr="00456F2C" w:rsidRDefault="00456F2C" w:rsidP="00A62147">
            <w:pPr>
              <w:spacing w:after="0" w:line="240" w:lineRule="auto"/>
              <w:rPr>
                <w:rFonts w:ascii="Calibri" w:hAnsi="Calibri"/>
                <w:b/>
                <w:color w:val="000000"/>
                <w:sz w:val="18"/>
                <w:szCs w:val="18"/>
              </w:rPr>
            </w:pPr>
            <w:r w:rsidRPr="00456F2C">
              <w:rPr>
                <w:rFonts w:ascii="Calibri" w:hAnsi="Calibri"/>
                <w:b/>
                <w:color w:val="000000"/>
                <w:sz w:val="18"/>
                <w:szCs w:val="18"/>
              </w:rPr>
              <w:t>R</w:t>
            </w:r>
          </w:p>
        </w:tc>
        <w:tc>
          <w:tcPr>
            <w:tcW w:w="372" w:type="dxa"/>
            <w:tcBorders>
              <w:top w:val="nil"/>
              <w:left w:val="nil"/>
              <w:bottom w:val="single" w:sz="4" w:space="0" w:color="auto"/>
              <w:right w:val="single" w:sz="4" w:space="0" w:color="auto"/>
            </w:tcBorders>
            <w:shd w:val="clear" w:color="auto" w:fill="D99694"/>
            <w:noWrap/>
            <w:vAlign w:val="center"/>
          </w:tcPr>
          <w:p w14:paraId="60A1E373" w14:textId="1FF93667" w:rsidR="00A62147" w:rsidRPr="00456F2C" w:rsidRDefault="00A62147" w:rsidP="00A62147">
            <w:pPr>
              <w:spacing w:after="0" w:line="240" w:lineRule="auto"/>
              <w:rPr>
                <w:rFonts w:ascii="Calibri" w:hAnsi="Calibri"/>
                <w:b/>
                <w:color w:val="000000"/>
                <w:sz w:val="18"/>
                <w:szCs w:val="18"/>
              </w:rPr>
            </w:pPr>
          </w:p>
        </w:tc>
        <w:tc>
          <w:tcPr>
            <w:tcW w:w="376" w:type="dxa"/>
            <w:tcBorders>
              <w:top w:val="nil"/>
              <w:left w:val="nil"/>
              <w:bottom w:val="single" w:sz="4" w:space="0" w:color="auto"/>
              <w:right w:val="single" w:sz="4" w:space="0" w:color="auto"/>
            </w:tcBorders>
            <w:shd w:val="clear" w:color="auto" w:fill="D99694"/>
            <w:noWrap/>
            <w:vAlign w:val="center"/>
          </w:tcPr>
          <w:p w14:paraId="3D9FADF6" w14:textId="77777777" w:rsidR="00A62147" w:rsidRPr="00456F2C" w:rsidRDefault="00A62147" w:rsidP="00A62147">
            <w:pPr>
              <w:spacing w:after="0" w:line="240" w:lineRule="auto"/>
              <w:rPr>
                <w:rFonts w:ascii="Calibri" w:hAnsi="Calibri"/>
                <w:b/>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31E18185" w14:textId="77777777" w:rsidR="00A62147" w:rsidRPr="00456F2C"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3332AC46" w14:textId="36A8C265" w:rsidR="00A62147" w:rsidRPr="00456F2C" w:rsidRDefault="00456F2C" w:rsidP="00A62147">
            <w:pPr>
              <w:spacing w:after="0" w:line="240" w:lineRule="auto"/>
              <w:rPr>
                <w:rFonts w:ascii="Calibri" w:hAnsi="Calibri"/>
                <w:b/>
                <w:color w:val="000000"/>
                <w:sz w:val="18"/>
                <w:szCs w:val="18"/>
              </w:rPr>
            </w:pPr>
            <w:r w:rsidRPr="00456F2C">
              <w:rPr>
                <w:rFonts w:ascii="Calibri" w:hAnsi="Calibri"/>
                <w:b/>
                <w:color w:val="000000"/>
                <w:sz w:val="18"/>
                <w:szCs w:val="18"/>
              </w:rPr>
              <w:t>R</w:t>
            </w:r>
          </w:p>
        </w:tc>
        <w:tc>
          <w:tcPr>
            <w:tcW w:w="372" w:type="dxa"/>
            <w:tcBorders>
              <w:top w:val="nil"/>
              <w:left w:val="nil"/>
              <w:bottom w:val="single" w:sz="4" w:space="0" w:color="auto"/>
              <w:right w:val="single" w:sz="4" w:space="0" w:color="auto"/>
            </w:tcBorders>
            <w:shd w:val="clear" w:color="auto" w:fill="D99694"/>
            <w:noWrap/>
            <w:vAlign w:val="center"/>
          </w:tcPr>
          <w:p w14:paraId="3A07D4EB" w14:textId="77777777" w:rsidR="00A62147" w:rsidRPr="00456F2C"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9800CE4" w14:textId="77777777" w:rsidR="00A62147" w:rsidRPr="00456F2C" w:rsidRDefault="00A62147" w:rsidP="00A62147">
            <w:pPr>
              <w:spacing w:after="0" w:line="240" w:lineRule="auto"/>
              <w:rPr>
                <w:rFonts w:ascii="Calibri" w:hAnsi="Calibri"/>
                <w:b/>
                <w:color w:val="000000"/>
                <w:sz w:val="18"/>
                <w:szCs w:val="18"/>
              </w:rPr>
            </w:pPr>
          </w:p>
        </w:tc>
      </w:tr>
      <w:tr w:rsidR="002A38BD" w:rsidRPr="00AD6E25" w14:paraId="634AE720" w14:textId="77777777" w:rsidTr="00456F2C">
        <w:trPr>
          <w:gridAfter w:val="1"/>
          <w:wAfter w:w="13" w:type="dxa"/>
          <w:trHeight w:val="691"/>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2C70F7D4" w14:textId="6BE7F789" w:rsidR="00A62147" w:rsidRPr="00833990" w:rsidRDefault="00A62147" w:rsidP="00A62147">
            <w:pPr>
              <w:spacing w:after="0" w:line="240" w:lineRule="auto"/>
              <w:rPr>
                <w:b/>
                <w:bCs/>
                <w:color w:val="000000"/>
                <w:sz w:val="18"/>
                <w:szCs w:val="18"/>
              </w:rPr>
            </w:pPr>
            <w:r w:rsidRPr="00A62147">
              <w:rPr>
                <w:b/>
                <w:bCs/>
                <w:color w:val="000000"/>
                <w:sz w:val="18"/>
                <w:szCs w:val="18"/>
              </w:rPr>
              <w:t>Task 2.1.4 Quantifying  present &amp; future N threats &amp; benefits at global and regional scales</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03D63" w14:textId="77777777" w:rsidR="00A62147" w:rsidRPr="00456F2C" w:rsidRDefault="00A62147" w:rsidP="00A62147">
            <w:pPr>
              <w:spacing w:after="0" w:line="240" w:lineRule="auto"/>
              <w:jc w:val="center"/>
              <w:rPr>
                <w:b/>
                <w:bCs/>
                <w:color w:val="000000"/>
                <w:sz w:val="18"/>
                <w:szCs w:val="18"/>
              </w:rPr>
            </w:pPr>
          </w:p>
        </w:tc>
        <w:tc>
          <w:tcPr>
            <w:tcW w:w="406" w:type="dxa"/>
            <w:tcBorders>
              <w:top w:val="nil"/>
              <w:left w:val="nil"/>
              <w:bottom w:val="single" w:sz="4" w:space="0" w:color="auto"/>
              <w:right w:val="single" w:sz="4" w:space="0" w:color="auto"/>
            </w:tcBorders>
            <w:shd w:val="clear" w:color="auto" w:fill="D99694"/>
            <w:noWrap/>
            <w:vAlign w:val="center"/>
          </w:tcPr>
          <w:p w14:paraId="299FA960" w14:textId="6BDE65FE" w:rsidR="00A62147" w:rsidRPr="00456F2C" w:rsidRDefault="00456F2C" w:rsidP="00A62147">
            <w:pPr>
              <w:spacing w:after="0" w:line="240" w:lineRule="auto"/>
              <w:rPr>
                <w:rFonts w:ascii="Calibri" w:hAnsi="Calibri"/>
                <w:b/>
                <w:color w:val="000000"/>
                <w:sz w:val="18"/>
                <w:szCs w:val="18"/>
              </w:rPr>
            </w:pPr>
            <w:r w:rsidRPr="00456F2C">
              <w:rPr>
                <w:rFonts w:ascii="Calibri" w:hAnsi="Calibri"/>
                <w:b/>
                <w:color w:val="000000"/>
                <w:sz w:val="18"/>
                <w:szCs w:val="18"/>
              </w:rPr>
              <w:t>M</w:t>
            </w:r>
          </w:p>
        </w:tc>
        <w:tc>
          <w:tcPr>
            <w:tcW w:w="406" w:type="dxa"/>
            <w:tcBorders>
              <w:top w:val="nil"/>
              <w:left w:val="nil"/>
              <w:bottom w:val="single" w:sz="4" w:space="0" w:color="auto"/>
              <w:right w:val="single" w:sz="4" w:space="0" w:color="auto"/>
            </w:tcBorders>
            <w:shd w:val="clear" w:color="auto" w:fill="auto"/>
            <w:noWrap/>
            <w:vAlign w:val="center"/>
          </w:tcPr>
          <w:p w14:paraId="6D319A5E" w14:textId="77777777" w:rsidR="00A62147" w:rsidRPr="00456F2C" w:rsidRDefault="00A62147" w:rsidP="00A62147">
            <w:pPr>
              <w:spacing w:after="0" w:line="240" w:lineRule="auto"/>
              <w:rPr>
                <w:rFonts w:ascii="Calibri" w:hAnsi="Calibri"/>
                <w:b/>
                <w:color w:val="000000"/>
                <w:sz w:val="18"/>
                <w:szCs w:val="18"/>
              </w:rPr>
            </w:pPr>
          </w:p>
        </w:tc>
        <w:tc>
          <w:tcPr>
            <w:tcW w:w="410" w:type="dxa"/>
            <w:tcBorders>
              <w:top w:val="nil"/>
              <w:left w:val="nil"/>
              <w:bottom w:val="single" w:sz="4" w:space="0" w:color="auto"/>
              <w:right w:val="single" w:sz="4" w:space="0" w:color="auto"/>
            </w:tcBorders>
            <w:shd w:val="clear" w:color="auto" w:fill="auto"/>
            <w:noWrap/>
            <w:vAlign w:val="center"/>
          </w:tcPr>
          <w:p w14:paraId="22FC07D4" w14:textId="77777777" w:rsidR="00A62147" w:rsidRPr="00456F2C" w:rsidRDefault="00A62147" w:rsidP="00A62147">
            <w:pPr>
              <w:spacing w:after="0" w:line="240" w:lineRule="auto"/>
              <w:rPr>
                <w:rFonts w:ascii="Calibri" w:hAnsi="Calibri"/>
                <w:b/>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39C51746" w14:textId="77777777" w:rsidR="00A62147" w:rsidRPr="00456F2C"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591AA84D" w14:textId="3166D70A" w:rsidR="00A62147" w:rsidRPr="00456F2C" w:rsidRDefault="00456F2C" w:rsidP="00A62147">
            <w:pPr>
              <w:spacing w:after="0" w:line="240" w:lineRule="auto"/>
              <w:rPr>
                <w:rFonts w:ascii="Calibri" w:hAnsi="Calibri"/>
                <w:b/>
                <w:color w:val="000000"/>
                <w:sz w:val="18"/>
                <w:szCs w:val="18"/>
              </w:rPr>
            </w:pPr>
            <w:r w:rsidRPr="00456F2C">
              <w:rPr>
                <w:rFonts w:ascii="Calibri" w:hAnsi="Calibri"/>
                <w:b/>
                <w:color w:val="000000"/>
                <w:sz w:val="18"/>
                <w:szCs w:val="18"/>
              </w:rPr>
              <w:t>M</w:t>
            </w:r>
          </w:p>
        </w:tc>
        <w:tc>
          <w:tcPr>
            <w:tcW w:w="417" w:type="dxa"/>
            <w:tcBorders>
              <w:top w:val="nil"/>
              <w:left w:val="nil"/>
              <w:bottom w:val="single" w:sz="4" w:space="0" w:color="auto"/>
              <w:right w:val="single" w:sz="4" w:space="0" w:color="auto"/>
            </w:tcBorders>
            <w:shd w:val="clear" w:color="auto" w:fill="D99694"/>
            <w:noWrap/>
            <w:vAlign w:val="center"/>
          </w:tcPr>
          <w:p w14:paraId="6EB783F0" w14:textId="77777777" w:rsidR="00A62147" w:rsidRPr="00456F2C" w:rsidRDefault="00A62147" w:rsidP="00A62147">
            <w:pPr>
              <w:spacing w:after="0" w:line="240" w:lineRule="auto"/>
              <w:rPr>
                <w:rFonts w:ascii="Calibri" w:hAnsi="Calibri"/>
                <w:b/>
                <w:color w:val="000000"/>
                <w:sz w:val="18"/>
                <w:szCs w:val="18"/>
              </w:rPr>
            </w:pPr>
          </w:p>
        </w:tc>
        <w:tc>
          <w:tcPr>
            <w:tcW w:w="375" w:type="dxa"/>
            <w:tcBorders>
              <w:top w:val="nil"/>
              <w:left w:val="nil"/>
              <w:bottom w:val="single" w:sz="4" w:space="0" w:color="auto"/>
              <w:right w:val="single" w:sz="4" w:space="0" w:color="auto"/>
            </w:tcBorders>
            <w:shd w:val="clear" w:color="auto" w:fill="D99694"/>
            <w:noWrap/>
            <w:vAlign w:val="center"/>
          </w:tcPr>
          <w:p w14:paraId="114D7298" w14:textId="4EC710A8" w:rsidR="00A62147" w:rsidRPr="00456F2C" w:rsidRDefault="00A62147" w:rsidP="00A62147">
            <w:pPr>
              <w:spacing w:after="0" w:line="240" w:lineRule="auto"/>
              <w:rPr>
                <w:rFonts w:ascii="Calibri" w:hAnsi="Calibri"/>
                <w:b/>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6331F3FA" w14:textId="6C5AEBB3" w:rsidR="00A62147" w:rsidRPr="00456F2C"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0E69B7F5" w14:textId="30E50FA1" w:rsidR="00A62147" w:rsidRPr="00456F2C" w:rsidRDefault="00E63547" w:rsidP="00A62147">
            <w:pPr>
              <w:spacing w:after="0" w:line="240" w:lineRule="auto"/>
              <w:rPr>
                <w:rFonts w:ascii="Calibri" w:hAnsi="Calibri"/>
                <w:b/>
                <w:color w:val="000000"/>
                <w:sz w:val="18"/>
                <w:szCs w:val="18"/>
              </w:rPr>
            </w:pPr>
            <w:r w:rsidRPr="00E63547">
              <w:rPr>
                <w:rFonts w:ascii="Calibri" w:hAnsi="Calibri"/>
                <w:b/>
                <w:color w:val="000000"/>
                <w:szCs w:val="18"/>
              </w:rPr>
              <w:t>W</w:t>
            </w:r>
          </w:p>
        </w:tc>
        <w:tc>
          <w:tcPr>
            <w:tcW w:w="372" w:type="dxa"/>
            <w:tcBorders>
              <w:top w:val="nil"/>
              <w:left w:val="nil"/>
              <w:bottom w:val="single" w:sz="4" w:space="0" w:color="auto"/>
              <w:right w:val="single" w:sz="4" w:space="0" w:color="auto"/>
            </w:tcBorders>
            <w:shd w:val="clear" w:color="auto" w:fill="D99694"/>
            <w:noWrap/>
            <w:vAlign w:val="center"/>
          </w:tcPr>
          <w:p w14:paraId="08C2E855" w14:textId="77777777" w:rsidR="00A62147" w:rsidRPr="00456F2C" w:rsidRDefault="00A62147" w:rsidP="00A62147">
            <w:pPr>
              <w:spacing w:after="0" w:line="240" w:lineRule="auto"/>
              <w:rPr>
                <w:rFonts w:ascii="Calibri" w:hAnsi="Calibri"/>
                <w:b/>
                <w:color w:val="000000"/>
                <w:sz w:val="18"/>
                <w:szCs w:val="18"/>
              </w:rPr>
            </w:pPr>
          </w:p>
        </w:tc>
        <w:tc>
          <w:tcPr>
            <w:tcW w:w="376" w:type="dxa"/>
            <w:tcBorders>
              <w:top w:val="nil"/>
              <w:left w:val="nil"/>
              <w:bottom w:val="single" w:sz="4" w:space="0" w:color="auto"/>
              <w:right w:val="single" w:sz="4" w:space="0" w:color="auto"/>
            </w:tcBorders>
            <w:shd w:val="clear" w:color="auto" w:fill="D99694"/>
            <w:noWrap/>
            <w:vAlign w:val="center"/>
          </w:tcPr>
          <w:p w14:paraId="3857AC71" w14:textId="77777777" w:rsidR="00A62147" w:rsidRPr="00456F2C" w:rsidRDefault="00A62147" w:rsidP="00A62147">
            <w:pPr>
              <w:spacing w:after="0" w:line="240" w:lineRule="auto"/>
              <w:rPr>
                <w:rFonts w:ascii="Calibri" w:hAnsi="Calibri"/>
                <w:b/>
                <w:color w:val="000000"/>
              </w:rPr>
            </w:pPr>
          </w:p>
        </w:tc>
        <w:tc>
          <w:tcPr>
            <w:tcW w:w="468" w:type="dxa"/>
            <w:tcBorders>
              <w:top w:val="nil"/>
              <w:left w:val="nil"/>
              <w:bottom w:val="single" w:sz="4" w:space="0" w:color="auto"/>
              <w:right w:val="single" w:sz="4" w:space="0" w:color="auto"/>
            </w:tcBorders>
            <w:shd w:val="clear" w:color="auto" w:fill="D99694"/>
            <w:noWrap/>
            <w:vAlign w:val="center"/>
          </w:tcPr>
          <w:p w14:paraId="167F414C" w14:textId="77777777" w:rsidR="00A62147" w:rsidRPr="00456F2C"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2AF8B6B6" w14:textId="5154676F" w:rsidR="00A62147" w:rsidRPr="00456F2C" w:rsidRDefault="00456F2C" w:rsidP="00A62147">
            <w:pPr>
              <w:spacing w:after="0" w:line="240" w:lineRule="auto"/>
              <w:rPr>
                <w:rFonts w:ascii="Calibri" w:hAnsi="Calibri"/>
                <w:b/>
                <w:color w:val="000000"/>
                <w:sz w:val="18"/>
                <w:szCs w:val="18"/>
              </w:rPr>
            </w:pPr>
            <w:r w:rsidRPr="00456F2C">
              <w:rPr>
                <w:rFonts w:ascii="Calibri" w:hAnsi="Calibri"/>
                <w:b/>
                <w:color w:val="000000"/>
                <w:sz w:val="18"/>
                <w:szCs w:val="18"/>
              </w:rPr>
              <w:t>M</w:t>
            </w:r>
          </w:p>
        </w:tc>
        <w:tc>
          <w:tcPr>
            <w:tcW w:w="372" w:type="dxa"/>
            <w:tcBorders>
              <w:top w:val="nil"/>
              <w:left w:val="nil"/>
              <w:bottom w:val="single" w:sz="4" w:space="0" w:color="auto"/>
              <w:right w:val="single" w:sz="4" w:space="0" w:color="auto"/>
            </w:tcBorders>
            <w:shd w:val="clear" w:color="auto" w:fill="D99694"/>
            <w:noWrap/>
            <w:vAlign w:val="center"/>
          </w:tcPr>
          <w:p w14:paraId="22861D24" w14:textId="77777777" w:rsidR="00A62147" w:rsidRPr="00456F2C"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E18AA53" w14:textId="77777777" w:rsidR="00A62147" w:rsidRPr="00456F2C" w:rsidRDefault="00A62147" w:rsidP="00A62147">
            <w:pPr>
              <w:spacing w:after="0" w:line="240" w:lineRule="auto"/>
              <w:rPr>
                <w:rFonts w:ascii="Calibri" w:hAnsi="Calibri"/>
                <w:b/>
                <w:color w:val="000000"/>
                <w:sz w:val="18"/>
                <w:szCs w:val="18"/>
              </w:rPr>
            </w:pPr>
          </w:p>
        </w:tc>
      </w:tr>
      <w:tr w:rsidR="002A38BD" w:rsidRPr="00AD6E25" w14:paraId="1027ACDF" w14:textId="77777777" w:rsidTr="00456F2C">
        <w:trPr>
          <w:gridAfter w:val="1"/>
          <w:wAfter w:w="13" w:type="dxa"/>
          <w:trHeight w:val="584"/>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4B91A093" w14:textId="77777777" w:rsidR="00175689" w:rsidRDefault="00175689" w:rsidP="00415B28">
            <w:pPr>
              <w:spacing w:after="0" w:line="240" w:lineRule="auto"/>
              <w:rPr>
                <w:b/>
                <w:bCs/>
                <w:color w:val="000000"/>
                <w:sz w:val="18"/>
                <w:szCs w:val="18"/>
              </w:rPr>
            </w:pPr>
            <w:r>
              <w:rPr>
                <w:b/>
                <w:bCs/>
                <w:color w:val="000000"/>
                <w:sz w:val="18"/>
                <w:szCs w:val="18"/>
              </w:rPr>
              <w:t>Monitoring and Evaluation</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9FB19" w14:textId="77777777" w:rsidR="00175689" w:rsidRPr="00456F2C" w:rsidRDefault="00175689" w:rsidP="00415B28">
            <w:pPr>
              <w:spacing w:after="0" w:line="240" w:lineRule="auto"/>
              <w:rPr>
                <w:b/>
                <w:bCs/>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center"/>
          </w:tcPr>
          <w:p w14:paraId="5BB2C3CC" w14:textId="77777777" w:rsidR="00175689" w:rsidRPr="00456F2C" w:rsidRDefault="00175689" w:rsidP="00415B28">
            <w:pPr>
              <w:spacing w:after="0" w:line="240" w:lineRule="auto"/>
              <w:jc w:val="center"/>
              <w:rPr>
                <w:b/>
                <w:bCs/>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center"/>
          </w:tcPr>
          <w:p w14:paraId="740E6184" w14:textId="77777777" w:rsidR="00175689" w:rsidRPr="00456F2C" w:rsidRDefault="00175689" w:rsidP="00415B28">
            <w:pPr>
              <w:spacing w:after="0" w:line="240" w:lineRule="auto"/>
              <w:rPr>
                <w:b/>
                <w:bCs/>
                <w:color w:val="000000"/>
                <w:sz w:val="18"/>
                <w:szCs w:val="18"/>
              </w:rPr>
            </w:pP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66C0012F" w14:textId="77777777" w:rsidR="00175689" w:rsidRPr="00456F2C" w:rsidRDefault="00175689" w:rsidP="00415B28">
            <w:pPr>
              <w:spacing w:after="0" w:line="240" w:lineRule="auto"/>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6EFA4834" w14:textId="2E10EE22" w:rsidR="00175689" w:rsidRPr="00456F2C" w:rsidRDefault="00456F2C" w:rsidP="00415B28">
            <w:pPr>
              <w:spacing w:after="0" w:line="240" w:lineRule="auto"/>
              <w:rPr>
                <w:b/>
                <w:bCs/>
                <w:color w:val="000000"/>
                <w:sz w:val="18"/>
                <w:szCs w:val="18"/>
              </w:rPr>
            </w:pPr>
            <w:r w:rsidRPr="00456F2C">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12B0F4D2" w14:textId="77777777" w:rsidR="00175689" w:rsidRPr="00456F2C" w:rsidRDefault="00175689" w:rsidP="00415B28">
            <w:pPr>
              <w:spacing w:after="0" w:line="240" w:lineRule="auto"/>
              <w:rPr>
                <w:b/>
                <w:bCs/>
                <w:color w:val="000000"/>
                <w:sz w:val="18"/>
                <w:szCs w:val="18"/>
              </w:rPr>
            </w:pP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29ACCE91" w14:textId="77777777" w:rsidR="00175689" w:rsidRPr="00456F2C" w:rsidRDefault="00175689" w:rsidP="00415B28">
            <w:pPr>
              <w:spacing w:after="0" w:line="240" w:lineRule="auto"/>
              <w:rPr>
                <w:b/>
                <w:bCs/>
                <w:color w:val="000000"/>
                <w:sz w:val="18"/>
                <w:szCs w:val="18"/>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14:paraId="657D65F1" w14:textId="77777777" w:rsidR="00175689" w:rsidRPr="00456F2C" w:rsidRDefault="00175689" w:rsidP="00415B28">
            <w:pPr>
              <w:spacing w:after="0" w:line="240" w:lineRule="auto"/>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16BCC384" w14:textId="5A8C5BE7" w:rsidR="00175689" w:rsidRPr="00456F2C" w:rsidRDefault="00456F2C" w:rsidP="00415B28">
            <w:pPr>
              <w:spacing w:after="0" w:line="240" w:lineRule="auto"/>
              <w:rPr>
                <w:b/>
                <w:bCs/>
                <w:color w:val="000000"/>
                <w:sz w:val="18"/>
                <w:szCs w:val="18"/>
              </w:rPr>
            </w:pPr>
            <w:r w:rsidRPr="00456F2C">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62A5672F" w14:textId="77777777" w:rsidR="00175689" w:rsidRPr="00456F2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7E7453CE" w14:textId="77777777" w:rsidR="00175689" w:rsidRPr="00456F2C" w:rsidRDefault="00175689" w:rsidP="00415B28">
            <w:pPr>
              <w:spacing w:after="0" w:line="240" w:lineRule="auto"/>
              <w:rPr>
                <w:b/>
                <w:bCs/>
                <w:color w:val="000000"/>
                <w:sz w:val="18"/>
                <w:szCs w:val="18"/>
              </w:rPr>
            </w:pPr>
          </w:p>
        </w:tc>
        <w:tc>
          <w:tcPr>
            <w:tcW w:w="376" w:type="dxa"/>
            <w:tcBorders>
              <w:top w:val="single" w:sz="4" w:space="0" w:color="auto"/>
              <w:left w:val="nil"/>
              <w:bottom w:val="single" w:sz="4" w:space="0" w:color="auto"/>
              <w:right w:val="single" w:sz="4" w:space="0" w:color="auto"/>
            </w:tcBorders>
            <w:shd w:val="clear" w:color="auto" w:fill="auto"/>
            <w:noWrap/>
            <w:vAlign w:val="center"/>
          </w:tcPr>
          <w:p w14:paraId="4FC00EF4" w14:textId="77777777" w:rsidR="00175689" w:rsidRPr="00456F2C" w:rsidRDefault="00175689" w:rsidP="00415B28">
            <w:pPr>
              <w:spacing w:after="0" w:line="240" w:lineRule="auto"/>
              <w:jc w:val="center"/>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160A9011" w14:textId="55AE86AE" w:rsidR="00175689" w:rsidRPr="00456F2C" w:rsidRDefault="00456F2C" w:rsidP="00415B28">
            <w:pPr>
              <w:spacing w:after="0" w:line="240" w:lineRule="auto"/>
              <w:rPr>
                <w:b/>
                <w:bCs/>
                <w:color w:val="000000"/>
                <w:sz w:val="18"/>
                <w:szCs w:val="18"/>
              </w:rPr>
            </w:pPr>
            <w:r w:rsidRPr="00456F2C">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2E45A575" w14:textId="77777777" w:rsidR="00175689" w:rsidRPr="00456F2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40E945B5" w14:textId="77777777" w:rsidR="00175689" w:rsidRPr="00456F2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D99694"/>
            <w:noWrap/>
            <w:vAlign w:val="center"/>
          </w:tcPr>
          <w:p w14:paraId="5024002D" w14:textId="22120969" w:rsidR="00175689" w:rsidRPr="00456F2C" w:rsidRDefault="00E63547" w:rsidP="00415B28">
            <w:pPr>
              <w:spacing w:after="0" w:line="240" w:lineRule="auto"/>
              <w:rPr>
                <w:b/>
                <w:bCs/>
                <w:color w:val="000000"/>
                <w:sz w:val="18"/>
                <w:szCs w:val="18"/>
              </w:rPr>
            </w:pPr>
            <w:r w:rsidRPr="00E63547">
              <w:rPr>
                <w:b/>
                <w:bCs/>
                <w:color w:val="000000"/>
                <w:szCs w:val="18"/>
              </w:rPr>
              <w:t>W</w:t>
            </w:r>
          </w:p>
        </w:tc>
      </w:tr>
    </w:tbl>
    <w:p w14:paraId="45D6CC4E" w14:textId="5C68ACEB" w:rsidR="00456F2C" w:rsidRDefault="00E43EC4" w:rsidP="00175689">
      <w:r>
        <w:tab/>
      </w:r>
    </w:p>
    <w:tbl>
      <w:tblPr>
        <w:tblW w:w="11300" w:type="dxa"/>
        <w:jc w:val="center"/>
        <w:tblLayout w:type="fixed"/>
        <w:tblLook w:val="04A0" w:firstRow="1" w:lastRow="0" w:firstColumn="1" w:lastColumn="0" w:noHBand="0" w:noVBand="1"/>
      </w:tblPr>
      <w:tblGrid>
        <w:gridCol w:w="4857"/>
        <w:gridCol w:w="404"/>
        <w:gridCol w:w="406"/>
        <w:gridCol w:w="406"/>
        <w:gridCol w:w="410"/>
        <w:gridCol w:w="468"/>
        <w:gridCol w:w="372"/>
        <w:gridCol w:w="417"/>
        <w:gridCol w:w="375"/>
        <w:gridCol w:w="468"/>
        <w:gridCol w:w="372"/>
        <w:gridCol w:w="372"/>
        <w:gridCol w:w="376"/>
        <w:gridCol w:w="468"/>
        <w:gridCol w:w="372"/>
        <w:gridCol w:w="372"/>
        <w:gridCol w:w="372"/>
        <w:gridCol w:w="13"/>
      </w:tblGrid>
      <w:tr w:rsidR="002A38BD" w:rsidRPr="00AD6E25" w14:paraId="17906C2A" w14:textId="77777777" w:rsidTr="00415B28">
        <w:trPr>
          <w:trHeight w:val="639"/>
          <w:tblHeader/>
          <w:jc w:val="center"/>
        </w:trPr>
        <w:tc>
          <w:tcPr>
            <w:tcW w:w="485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1D20D1E2" w14:textId="5D34DAEB" w:rsidR="00A62147" w:rsidRPr="00AD6E25" w:rsidRDefault="00A62147" w:rsidP="00415B28">
            <w:pPr>
              <w:spacing w:after="0" w:line="240" w:lineRule="auto"/>
              <w:rPr>
                <w:rFonts w:ascii="Calibri" w:hAnsi="Calibri"/>
                <w:b/>
                <w:bCs/>
                <w:color w:val="FFFFFF"/>
                <w:sz w:val="28"/>
                <w:szCs w:val="28"/>
              </w:rPr>
            </w:pPr>
            <w:r w:rsidRPr="00A62147">
              <w:rPr>
                <w:rFonts w:ascii="Calibri" w:hAnsi="Calibri"/>
                <w:b/>
                <w:bCs/>
                <w:color w:val="FFFFFF"/>
                <w:sz w:val="28"/>
                <w:szCs w:val="28"/>
              </w:rPr>
              <w:t>Activity 2.2 Preparation of global assessment of N fluxes, pathways and impacts assimilating lessons from the regional demonstrations</w:t>
            </w:r>
          </w:p>
        </w:tc>
        <w:tc>
          <w:tcPr>
            <w:tcW w:w="1626"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0F209E93" w14:textId="77777777" w:rsidR="00A62147" w:rsidRPr="00AD6E25" w:rsidRDefault="00A62147" w:rsidP="00415B28">
            <w:pPr>
              <w:spacing w:after="0" w:line="240" w:lineRule="auto"/>
              <w:jc w:val="center"/>
              <w:rPr>
                <w:rFonts w:ascii="Calibri" w:hAnsi="Calibri"/>
                <w:b/>
                <w:bCs/>
                <w:color w:val="FFFFFF"/>
              </w:rPr>
            </w:pPr>
            <w:r w:rsidRPr="00AD6E25">
              <w:rPr>
                <w:rFonts w:ascii="Calibri" w:hAnsi="Calibri"/>
                <w:b/>
                <w:bCs/>
                <w:color w:val="FFFFFF"/>
              </w:rPr>
              <w:t>Year 1</w:t>
            </w:r>
          </w:p>
        </w:tc>
        <w:tc>
          <w:tcPr>
            <w:tcW w:w="1632"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71702E36" w14:textId="77777777" w:rsidR="00A62147" w:rsidRPr="00AD6E25" w:rsidRDefault="00A62147" w:rsidP="00415B28">
            <w:pPr>
              <w:spacing w:after="0" w:line="240" w:lineRule="auto"/>
              <w:jc w:val="center"/>
              <w:rPr>
                <w:rFonts w:ascii="Calibri" w:hAnsi="Calibri"/>
                <w:b/>
                <w:bCs/>
                <w:color w:val="FFFFFF"/>
              </w:rPr>
            </w:pPr>
            <w:r w:rsidRPr="00AD6E25">
              <w:rPr>
                <w:rFonts w:ascii="Calibri" w:hAnsi="Calibri"/>
                <w:b/>
                <w:bCs/>
                <w:color w:val="FFFFFF"/>
              </w:rPr>
              <w:t>Year 2</w:t>
            </w:r>
          </w:p>
        </w:tc>
        <w:tc>
          <w:tcPr>
            <w:tcW w:w="1588"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77A9D263" w14:textId="77777777" w:rsidR="00A62147" w:rsidRPr="00AD6E25" w:rsidRDefault="00A62147" w:rsidP="00415B28">
            <w:pPr>
              <w:spacing w:after="0" w:line="240" w:lineRule="auto"/>
              <w:jc w:val="center"/>
              <w:rPr>
                <w:rFonts w:ascii="Calibri" w:hAnsi="Calibri"/>
                <w:b/>
                <w:bCs/>
                <w:color w:val="FFFFFF"/>
              </w:rPr>
            </w:pPr>
            <w:r w:rsidRPr="00AD6E25">
              <w:rPr>
                <w:rFonts w:ascii="Calibri" w:hAnsi="Calibri"/>
                <w:b/>
                <w:bCs/>
                <w:color w:val="FFFFFF"/>
              </w:rPr>
              <w:t>Year 3</w:t>
            </w:r>
          </w:p>
        </w:tc>
        <w:tc>
          <w:tcPr>
            <w:tcW w:w="1597" w:type="dxa"/>
            <w:gridSpan w:val="5"/>
            <w:tcBorders>
              <w:top w:val="single" w:sz="4" w:space="0" w:color="auto"/>
              <w:left w:val="nil"/>
              <w:bottom w:val="single" w:sz="4" w:space="0" w:color="auto"/>
              <w:right w:val="single" w:sz="4" w:space="0" w:color="auto"/>
            </w:tcBorders>
            <w:shd w:val="clear" w:color="000000" w:fill="305496"/>
            <w:noWrap/>
            <w:vAlign w:val="center"/>
            <w:hideMark/>
          </w:tcPr>
          <w:p w14:paraId="48F91B12" w14:textId="77777777" w:rsidR="00A62147" w:rsidRPr="00AD6E25" w:rsidRDefault="00A62147" w:rsidP="00415B28">
            <w:pPr>
              <w:spacing w:after="0" w:line="240" w:lineRule="auto"/>
              <w:jc w:val="center"/>
              <w:rPr>
                <w:rFonts w:ascii="Calibri" w:hAnsi="Calibri"/>
                <w:b/>
                <w:bCs/>
                <w:color w:val="FFFFFF"/>
              </w:rPr>
            </w:pPr>
            <w:r w:rsidRPr="00AD6E25">
              <w:rPr>
                <w:rFonts w:ascii="Calibri" w:hAnsi="Calibri"/>
                <w:b/>
                <w:bCs/>
                <w:color w:val="FFFFFF"/>
              </w:rPr>
              <w:t>Year 4</w:t>
            </w:r>
          </w:p>
        </w:tc>
      </w:tr>
      <w:tr w:rsidR="002A38BD" w:rsidRPr="00AD6E25" w14:paraId="6DB5E70C" w14:textId="77777777" w:rsidTr="00415B28">
        <w:trPr>
          <w:gridAfter w:val="1"/>
          <w:wAfter w:w="13" w:type="dxa"/>
          <w:trHeight w:val="365"/>
          <w:tblHeader/>
          <w:jc w:val="center"/>
        </w:trPr>
        <w:tc>
          <w:tcPr>
            <w:tcW w:w="485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1A924CF2" w14:textId="77777777" w:rsidR="00A62147" w:rsidRPr="00AD6E25" w:rsidRDefault="00A62147" w:rsidP="00415B28">
            <w:pPr>
              <w:spacing w:after="0" w:line="240" w:lineRule="auto"/>
              <w:rPr>
                <w:color w:val="000000"/>
              </w:rPr>
            </w:pPr>
            <w:r w:rsidRPr="00AD6E25">
              <w:rPr>
                <w:color w:val="000000"/>
              </w:rPr>
              <w:t> </w:t>
            </w:r>
          </w:p>
        </w:tc>
        <w:tc>
          <w:tcPr>
            <w:tcW w:w="404" w:type="dxa"/>
            <w:tcBorders>
              <w:top w:val="single" w:sz="4" w:space="0" w:color="auto"/>
              <w:left w:val="nil"/>
              <w:bottom w:val="single" w:sz="4" w:space="0" w:color="auto"/>
              <w:right w:val="single" w:sz="4" w:space="0" w:color="auto"/>
            </w:tcBorders>
            <w:shd w:val="clear" w:color="000000" w:fill="305496"/>
            <w:noWrap/>
            <w:vAlign w:val="center"/>
            <w:hideMark/>
          </w:tcPr>
          <w:p w14:paraId="799E908A"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Q1</w:t>
            </w:r>
          </w:p>
        </w:tc>
        <w:tc>
          <w:tcPr>
            <w:tcW w:w="406" w:type="dxa"/>
            <w:tcBorders>
              <w:top w:val="nil"/>
              <w:left w:val="nil"/>
              <w:bottom w:val="single" w:sz="4" w:space="0" w:color="auto"/>
              <w:right w:val="single" w:sz="4" w:space="0" w:color="auto"/>
            </w:tcBorders>
            <w:shd w:val="clear" w:color="000000" w:fill="305496"/>
            <w:noWrap/>
            <w:vAlign w:val="center"/>
            <w:hideMark/>
          </w:tcPr>
          <w:p w14:paraId="531BF9EA"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406" w:type="dxa"/>
            <w:tcBorders>
              <w:top w:val="nil"/>
              <w:left w:val="nil"/>
              <w:bottom w:val="single" w:sz="4" w:space="0" w:color="auto"/>
              <w:right w:val="single" w:sz="4" w:space="0" w:color="auto"/>
            </w:tcBorders>
            <w:shd w:val="clear" w:color="000000" w:fill="305496"/>
            <w:noWrap/>
            <w:vAlign w:val="center"/>
            <w:hideMark/>
          </w:tcPr>
          <w:p w14:paraId="734F628B"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410" w:type="dxa"/>
            <w:tcBorders>
              <w:top w:val="nil"/>
              <w:left w:val="nil"/>
              <w:bottom w:val="single" w:sz="4" w:space="0" w:color="auto"/>
              <w:right w:val="single" w:sz="4" w:space="0" w:color="auto"/>
            </w:tcBorders>
            <w:shd w:val="clear" w:color="000000" w:fill="305496"/>
            <w:noWrap/>
            <w:vAlign w:val="center"/>
            <w:hideMark/>
          </w:tcPr>
          <w:p w14:paraId="478454D9"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3AB7E778" w14:textId="3F652AAC"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3C37A9E1"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417" w:type="dxa"/>
            <w:tcBorders>
              <w:top w:val="nil"/>
              <w:left w:val="nil"/>
              <w:bottom w:val="single" w:sz="4" w:space="0" w:color="auto"/>
              <w:right w:val="single" w:sz="4" w:space="0" w:color="auto"/>
            </w:tcBorders>
            <w:shd w:val="clear" w:color="000000" w:fill="305496"/>
            <w:noWrap/>
            <w:vAlign w:val="center"/>
            <w:hideMark/>
          </w:tcPr>
          <w:p w14:paraId="3E7CFAEC"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5" w:type="dxa"/>
            <w:tcBorders>
              <w:top w:val="nil"/>
              <w:left w:val="nil"/>
              <w:bottom w:val="single" w:sz="4" w:space="0" w:color="auto"/>
              <w:right w:val="single" w:sz="4" w:space="0" w:color="auto"/>
            </w:tcBorders>
            <w:shd w:val="clear" w:color="000000" w:fill="305496"/>
            <w:noWrap/>
            <w:vAlign w:val="center"/>
            <w:hideMark/>
          </w:tcPr>
          <w:p w14:paraId="5BB315EF"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005D68BD" w14:textId="2722F116"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1A87D841"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372" w:type="dxa"/>
            <w:tcBorders>
              <w:top w:val="nil"/>
              <w:left w:val="nil"/>
              <w:bottom w:val="single" w:sz="4" w:space="0" w:color="auto"/>
              <w:right w:val="single" w:sz="4" w:space="0" w:color="auto"/>
            </w:tcBorders>
            <w:shd w:val="clear" w:color="000000" w:fill="305496"/>
            <w:noWrap/>
            <w:vAlign w:val="center"/>
            <w:hideMark/>
          </w:tcPr>
          <w:p w14:paraId="687FF4ED"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6" w:type="dxa"/>
            <w:tcBorders>
              <w:top w:val="nil"/>
              <w:left w:val="nil"/>
              <w:bottom w:val="single" w:sz="4" w:space="0" w:color="auto"/>
              <w:right w:val="single" w:sz="4" w:space="0" w:color="auto"/>
            </w:tcBorders>
            <w:shd w:val="clear" w:color="000000" w:fill="305496"/>
            <w:noWrap/>
            <w:vAlign w:val="center"/>
            <w:hideMark/>
          </w:tcPr>
          <w:p w14:paraId="0FE422F7"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3E1E14E1" w14:textId="0287A25A"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2313C997"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372" w:type="dxa"/>
            <w:tcBorders>
              <w:top w:val="nil"/>
              <w:left w:val="nil"/>
              <w:bottom w:val="single" w:sz="4" w:space="0" w:color="auto"/>
              <w:right w:val="single" w:sz="4" w:space="0" w:color="auto"/>
            </w:tcBorders>
            <w:shd w:val="clear" w:color="000000" w:fill="305496"/>
            <w:noWrap/>
            <w:vAlign w:val="center"/>
            <w:hideMark/>
          </w:tcPr>
          <w:p w14:paraId="49297521"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2" w:type="dxa"/>
            <w:tcBorders>
              <w:top w:val="nil"/>
              <w:left w:val="nil"/>
              <w:bottom w:val="single" w:sz="4" w:space="0" w:color="auto"/>
              <w:right w:val="single" w:sz="4" w:space="0" w:color="auto"/>
            </w:tcBorders>
            <w:shd w:val="clear" w:color="000000" w:fill="305496"/>
            <w:noWrap/>
            <w:vAlign w:val="center"/>
            <w:hideMark/>
          </w:tcPr>
          <w:p w14:paraId="567F5392" w14:textId="77777777" w:rsidR="00A62147" w:rsidRPr="00AD6E25" w:rsidRDefault="00A62147"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r>
      <w:tr w:rsidR="002A38BD" w:rsidRPr="00AD6E25" w14:paraId="6B4A3E11" w14:textId="77777777" w:rsidTr="008C0983">
        <w:trPr>
          <w:gridAfter w:val="1"/>
          <w:wAfter w:w="13" w:type="dxa"/>
          <w:trHeight w:val="876"/>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766D9D7C" w14:textId="77777777" w:rsidR="00A62147" w:rsidRPr="00833990" w:rsidRDefault="00A62147" w:rsidP="00415B28">
            <w:pPr>
              <w:spacing w:after="0" w:line="240" w:lineRule="auto"/>
              <w:rPr>
                <w:b/>
                <w:bCs/>
                <w:color w:val="000000"/>
                <w:sz w:val="18"/>
                <w:szCs w:val="18"/>
              </w:rPr>
            </w:pPr>
            <w:r w:rsidRPr="00524654">
              <w:rPr>
                <w:b/>
                <w:bCs/>
                <w:color w:val="000000"/>
                <w:sz w:val="18"/>
                <w:szCs w:val="18"/>
              </w:rPr>
              <w:t>Task 2.2.1</w:t>
            </w:r>
            <w:r>
              <w:rPr>
                <w:b/>
                <w:bCs/>
                <w:color w:val="000000"/>
                <w:sz w:val="18"/>
                <w:szCs w:val="18"/>
              </w:rPr>
              <w:t xml:space="preserve"> </w:t>
            </w:r>
            <w:r w:rsidRPr="00524654">
              <w:rPr>
                <w:b/>
                <w:bCs/>
                <w:color w:val="000000"/>
                <w:sz w:val="18"/>
                <w:szCs w:val="18"/>
              </w:rPr>
              <w:t>Preparation of scope &amp; structure of consolidated global assessment</w:t>
            </w:r>
          </w:p>
        </w:tc>
        <w:tc>
          <w:tcPr>
            <w:tcW w:w="404" w:type="dxa"/>
            <w:tcBorders>
              <w:top w:val="single" w:sz="4" w:space="0" w:color="auto"/>
              <w:left w:val="single" w:sz="4" w:space="0" w:color="auto"/>
              <w:bottom w:val="single" w:sz="4" w:space="0" w:color="auto"/>
              <w:right w:val="single" w:sz="4" w:space="0" w:color="auto"/>
            </w:tcBorders>
            <w:shd w:val="clear" w:color="auto" w:fill="D99694"/>
            <w:noWrap/>
            <w:vAlign w:val="center"/>
          </w:tcPr>
          <w:p w14:paraId="663F8E10" w14:textId="77777777" w:rsidR="00A62147" w:rsidRPr="00833990" w:rsidRDefault="00A62147" w:rsidP="00415B28">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D99694"/>
            <w:noWrap/>
            <w:vAlign w:val="center"/>
          </w:tcPr>
          <w:p w14:paraId="2F39EAEF" w14:textId="786694D7" w:rsidR="008C0983" w:rsidRPr="00C40BBA" w:rsidRDefault="00B74692" w:rsidP="00B74692">
            <w:pPr>
              <w:spacing w:after="0" w:line="240" w:lineRule="auto"/>
              <w:rPr>
                <w:rFonts w:ascii="Calibri" w:hAnsi="Calibri"/>
                <w:b/>
                <w:bCs/>
                <w:color w:val="000000"/>
                <w:sz w:val="18"/>
                <w:szCs w:val="18"/>
              </w:rPr>
            </w:pPr>
            <w:r w:rsidRPr="00B74692">
              <w:rPr>
                <w:rFonts w:ascii="Calibri" w:hAnsi="Calibri"/>
                <w:b/>
                <w:bCs/>
                <w:color w:val="000000"/>
                <w:szCs w:val="18"/>
              </w:rPr>
              <w:t>W</w:t>
            </w:r>
            <w:r w:rsidR="008C0983">
              <w:rPr>
                <w:rFonts w:ascii="Calibri" w:hAnsi="Calibri"/>
                <w:b/>
                <w:bCs/>
                <w:color w:val="000000"/>
                <w:sz w:val="18"/>
                <w:szCs w:val="18"/>
              </w:rPr>
              <w:t>R</w:t>
            </w:r>
          </w:p>
        </w:tc>
        <w:tc>
          <w:tcPr>
            <w:tcW w:w="406" w:type="dxa"/>
            <w:tcBorders>
              <w:top w:val="nil"/>
              <w:left w:val="nil"/>
              <w:bottom w:val="single" w:sz="4" w:space="0" w:color="auto"/>
              <w:right w:val="single" w:sz="4" w:space="0" w:color="auto"/>
            </w:tcBorders>
            <w:shd w:val="clear" w:color="auto" w:fill="D99694"/>
            <w:noWrap/>
            <w:vAlign w:val="center"/>
          </w:tcPr>
          <w:p w14:paraId="5BF6949C" w14:textId="77777777" w:rsidR="00A62147" w:rsidRPr="00C40BBA" w:rsidRDefault="00A62147" w:rsidP="00415B28">
            <w:pPr>
              <w:spacing w:after="0" w:line="240" w:lineRule="auto"/>
              <w:rPr>
                <w:rFonts w:ascii="Calibri" w:hAnsi="Calibri"/>
                <w:b/>
                <w:bCs/>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1DB010F2" w14:textId="371174D9" w:rsidR="00A62147" w:rsidRPr="00C40BBA" w:rsidRDefault="00A62147" w:rsidP="00415B28">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0686D974" w14:textId="3CF4EB46" w:rsidR="00A62147" w:rsidRPr="00C40BBA" w:rsidRDefault="00A62147" w:rsidP="00415B28">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7E50D9D4" w14:textId="60663DDF" w:rsidR="00A62147" w:rsidRPr="00C40BBA" w:rsidRDefault="00A62147" w:rsidP="00415B28">
            <w:pPr>
              <w:spacing w:after="0" w:line="240" w:lineRule="auto"/>
              <w:rPr>
                <w:rFonts w:ascii="Calibri" w:hAnsi="Calibri"/>
                <w:b/>
                <w:bCs/>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7EC19E09" w14:textId="77777777" w:rsidR="00A62147" w:rsidRPr="00C40BBA" w:rsidRDefault="00A62147" w:rsidP="00415B28">
            <w:pPr>
              <w:spacing w:after="0" w:line="240" w:lineRule="auto"/>
              <w:jc w:val="center"/>
              <w:rPr>
                <w:rFonts w:ascii="Calibri" w:hAnsi="Calibri"/>
                <w:b/>
                <w:bCs/>
                <w:color w:val="000000"/>
                <w:sz w:val="18"/>
                <w:szCs w:val="18"/>
              </w:rPr>
            </w:pPr>
          </w:p>
        </w:tc>
        <w:tc>
          <w:tcPr>
            <w:tcW w:w="375" w:type="dxa"/>
            <w:tcBorders>
              <w:top w:val="nil"/>
              <w:left w:val="nil"/>
              <w:bottom w:val="single" w:sz="4" w:space="0" w:color="auto"/>
              <w:right w:val="single" w:sz="4" w:space="0" w:color="auto"/>
            </w:tcBorders>
            <w:shd w:val="clear" w:color="auto" w:fill="auto"/>
            <w:noWrap/>
            <w:vAlign w:val="center"/>
          </w:tcPr>
          <w:p w14:paraId="64D8C191" w14:textId="77777777" w:rsidR="00A62147" w:rsidRPr="00C40BBA" w:rsidRDefault="00A62147" w:rsidP="00415B28">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6A86D315" w14:textId="240BAB4C" w:rsidR="00A62147" w:rsidRPr="00C40BBA" w:rsidRDefault="00A62147" w:rsidP="00415B28">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15CACB0" w14:textId="77777777" w:rsidR="00A62147" w:rsidRPr="00C40BBA" w:rsidRDefault="00A62147" w:rsidP="00415B28">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6B59B087" w14:textId="77777777" w:rsidR="00A62147" w:rsidRPr="00C40BBA" w:rsidRDefault="00A62147" w:rsidP="00415B28">
            <w:pPr>
              <w:spacing w:after="0" w:line="240" w:lineRule="auto"/>
              <w:rPr>
                <w:rFonts w:ascii="Calibri" w:hAnsi="Calibri"/>
                <w:b/>
                <w:bCs/>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6AD62E04" w14:textId="08549CA1" w:rsidR="00A62147" w:rsidRPr="00C40BBA" w:rsidRDefault="00A62147" w:rsidP="00415B28">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35B03CC6" w14:textId="77777777" w:rsidR="00A62147" w:rsidRPr="00C40BBA" w:rsidRDefault="00A62147" w:rsidP="00415B28">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518525E" w14:textId="77777777" w:rsidR="00A62147" w:rsidRPr="00C40BBA" w:rsidRDefault="00A62147" w:rsidP="00415B28">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11CC334" w14:textId="77777777" w:rsidR="00A62147" w:rsidRPr="00C40BBA" w:rsidRDefault="00A62147" w:rsidP="00415B28">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77980AC" w14:textId="18A1F80D" w:rsidR="00A62147" w:rsidRPr="00C40BBA" w:rsidRDefault="00A62147" w:rsidP="00415B28">
            <w:pPr>
              <w:spacing w:after="0" w:line="240" w:lineRule="auto"/>
              <w:rPr>
                <w:rFonts w:ascii="Calibri" w:hAnsi="Calibri"/>
                <w:b/>
                <w:bCs/>
                <w:color w:val="000000"/>
                <w:sz w:val="18"/>
                <w:szCs w:val="18"/>
              </w:rPr>
            </w:pPr>
          </w:p>
        </w:tc>
      </w:tr>
      <w:tr w:rsidR="002A38BD" w:rsidRPr="00AD6E25" w14:paraId="652EA0F9" w14:textId="77777777" w:rsidTr="008C0983">
        <w:trPr>
          <w:gridAfter w:val="1"/>
          <w:wAfter w:w="13" w:type="dxa"/>
          <w:trHeight w:val="798"/>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1A3C0E7C" w14:textId="77777777" w:rsidR="00A62147" w:rsidRPr="00833990" w:rsidRDefault="00A62147" w:rsidP="00415B28">
            <w:pPr>
              <w:spacing w:after="0" w:line="240" w:lineRule="auto"/>
              <w:rPr>
                <w:b/>
                <w:bCs/>
                <w:color w:val="000000"/>
                <w:sz w:val="18"/>
                <w:szCs w:val="18"/>
              </w:rPr>
            </w:pPr>
            <w:r w:rsidRPr="00524654">
              <w:rPr>
                <w:b/>
                <w:bCs/>
                <w:color w:val="000000"/>
                <w:sz w:val="18"/>
                <w:szCs w:val="18"/>
              </w:rPr>
              <w:t>Task 2.2.2</w:t>
            </w:r>
            <w:r>
              <w:rPr>
                <w:b/>
                <w:bCs/>
                <w:color w:val="000000"/>
                <w:sz w:val="18"/>
                <w:szCs w:val="18"/>
              </w:rPr>
              <w:t xml:space="preserve"> </w:t>
            </w:r>
            <w:r w:rsidRPr="00524654">
              <w:rPr>
                <w:b/>
                <w:bCs/>
                <w:color w:val="000000"/>
                <w:sz w:val="18"/>
                <w:szCs w:val="18"/>
              </w:rPr>
              <w:t>Commissioning of author teams and preparation of the consolidated overview</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46BB7" w14:textId="77777777" w:rsidR="00A62147" w:rsidRPr="00833990" w:rsidRDefault="00A62147" w:rsidP="00415B28">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7DA4F596" w14:textId="0479745C" w:rsidR="00A62147" w:rsidRPr="00C40BBA" w:rsidRDefault="008C0983" w:rsidP="00415B28">
            <w:pPr>
              <w:spacing w:after="0" w:line="240" w:lineRule="auto"/>
              <w:rPr>
                <w:rFonts w:ascii="Calibri" w:hAnsi="Calibri"/>
                <w:b/>
                <w:bCs/>
                <w:color w:val="000000"/>
                <w:sz w:val="18"/>
                <w:szCs w:val="18"/>
              </w:rPr>
            </w:pPr>
            <w:r>
              <w:rPr>
                <w:rFonts w:ascii="Calibri" w:hAnsi="Calibri"/>
                <w:b/>
                <w:bCs/>
                <w:color w:val="000000"/>
                <w:sz w:val="18"/>
                <w:szCs w:val="18"/>
              </w:rPr>
              <w:t>M</w:t>
            </w:r>
          </w:p>
        </w:tc>
        <w:tc>
          <w:tcPr>
            <w:tcW w:w="406" w:type="dxa"/>
            <w:tcBorders>
              <w:top w:val="nil"/>
              <w:left w:val="nil"/>
              <w:bottom w:val="single" w:sz="4" w:space="0" w:color="auto"/>
              <w:right w:val="single" w:sz="4" w:space="0" w:color="auto"/>
            </w:tcBorders>
            <w:shd w:val="clear" w:color="auto" w:fill="D99694"/>
            <w:noWrap/>
            <w:vAlign w:val="center"/>
          </w:tcPr>
          <w:p w14:paraId="3C6E7ED8" w14:textId="77777777" w:rsidR="00A62147" w:rsidRPr="00C40BBA" w:rsidRDefault="00A62147" w:rsidP="00415B28">
            <w:pPr>
              <w:spacing w:after="0" w:line="240" w:lineRule="auto"/>
              <w:rPr>
                <w:rFonts w:ascii="Calibri" w:hAnsi="Calibri"/>
                <w:b/>
                <w:bCs/>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7604E7FA" w14:textId="77777777" w:rsidR="00A62147" w:rsidRPr="00C40BBA" w:rsidRDefault="00A62147" w:rsidP="00415B28">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354454E9" w14:textId="1AF2B513" w:rsidR="00A62147" w:rsidRPr="00C40BBA" w:rsidRDefault="00A62147" w:rsidP="00415B28">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197A487C" w14:textId="5F96009A" w:rsidR="008C0983" w:rsidRPr="00C40BBA" w:rsidRDefault="00B74692" w:rsidP="00415B28">
            <w:pPr>
              <w:spacing w:after="0" w:line="240" w:lineRule="auto"/>
              <w:rPr>
                <w:rFonts w:ascii="Calibri" w:hAnsi="Calibri"/>
                <w:b/>
                <w:bCs/>
                <w:color w:val="000000"/>
                <w:sz w:val="18"/>
                <w:szCs w:val="18"/>
              </w:rPr>
            </w:pPr>
            <w:r w:rsidRPr="00B74692">
              <w:rPr>
                <w:rFonts w:ascii="Calibri" w:hAnsi="Calibri"/>
                <w:b/>
                <w:bCs/>
                <w:color w:val="000000"/>
                <w:szCs w:val="18"/>
              </w:rPr>
              <w:t>W</w:t>
            </w:r>
          </w:p>
        </w:tc>
        <w:tc>
          <w:tcPr>
            <w:tcW w:w="417" w:type="dxa"/>
            <w:tcBorders>
              <w:top w:val="nil"/>
              <w:left w:val="nil"/>
              <w:bottom w:val="single" w:sz="4" w:space="0" w:color="auto"/>
              <w:right w:val="single" w:sz="4" w:space="0" w:color="auto"/>
            </w:tcBorders>
            <w:shd w:val="clear" w:color="auto" w:fill="D99694"/>
            <w:noWrap/>
            <w:vAlign w:val="center"/>
          </w:tcPr>
          <w:p w14:paraId="033B8EB9" w14:textId="77777777" w:rsidR="00A62147" w:rsidRPr="00C40BBA" w:rsidRDefault="00A62147" w:rsidP="00415B28">
            <w:pPr>
              <w:spacing w:after="0" w:line="240" w:lineRule="auto"/>
              <w:rPr>
                <w:rFonts w:ascii="Calibri" w:hAnsi="Calibri"/>
                <w:b/>
                <w:bCs/>
                <w:color w:val="000000"/>
                <w:sz w:val="18"/>
                <w:szCs w:val="18"/>
              </w:rPr>
            </w:pPr>
          </w:p>
        </w:tc>
        <w:tc>
          <w:tcPr>
            <w:tcW w:w="375" w:type="dxa"/>
            <w:tcBorders>
              <w:top w:val="nil"/>
              <w:left w:val="nil"/>
              <w:bottom w:val="single" w:sz="4" w:space="0" w:color="auto"/>
              <w:right w:val="single" w:sz="4" w:space="0" w:color="auto"/>
            </w:tcBorders>
            <w:shd w:val="clear" w:color="auto" w:fill="D99694"/>
            <w:noWrap/>
            <w:vAlign w:val="center"/>
          </w:tcPr>
          <w:p w14:paraId="1EDF023C" w14:textId="77777777" w:rsidR="00A62147" w:rsidRPr="00C40BBA" w:rsidRDefault="00A62147" w:rsidP="00415B28">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6C658606" w14:textId="7A313DC4" w:rsidR="008C0983" w:rsidRPr="00B74692" w:rsidRDefault="00B74692" w:rsidP="00415B28">
            <w:pPr>
              <w:spacing w:after="0" w:line="240" w:lineRule="auto"/>
              <w:rPr>
                <w:rFonts w:ascii="Calibri" w:hAnsi="Calibri"/>
                <w:b/>
                <w:bCs/>
                <w:color w:val="000000"/>
                <w:szCs w:val="18"/>
              </w:rPr>
            </w:pPr>
            <w:r w:rsidRPr="00B74692">
              <w:rPr>
                <w:rFonts w:ascii="Calibri" w:hAnsi="Calibri"/>
                <w:b/>
                <w:bCs/>
                <w:color w:val="000000"/>
                <w:szCs w:val="18"/>
              </w:rPr>
              <w:t>W</w:t>
            </w:r>
          </w:p>
        </w:tc>
        <w:tc>
          <w:tcPr>
            <w:tcW w:w="372" w:type="dxa"/>
            <w:tcBorders>
              <w:top w:val="nil"/>
              <w:left w:val="nil"/>
              <w:bottom w:val="single" w:sz="4" w:space="0" w:color="auto"/>
              <w:right w:val="single" w:sz="4" w:space="0" w:color="auto"/>
            </w:tcBorders>
            <w:shd w:val="clear" w:color="auto" w:fill="D99694"/>
            <w:noWrap/>
            <w:vAlign w:val="center"/>
          </w:tcPr>
          <w:p w14:paraId="0DD376F0" w14:textId="0FBA61A3" w:rsidR="00A62147" w:rsidRPr="00B74692" w:rsidRDefault="00B74692" w:rsidP="00415B28">
            <w:pPr>
              <w:spacing w:after="0" w:line="240" w:lineRule="auto"/>
              <w:rPr>
                <w:rFonts w:ascii="Calibri" w:hAnsi="Calibri"/>
                <w:b/>
                <w:bCs/>
                <w:color w:val="000000"/>
                <w:szCs w:val="18"/>
              </w:rPr>
            </w:pPr>
            <w:r w:rsidRPr="00B74692">
              <w:rPr>
                <w:rFonts w:ascii="Calibri" w:hAnsi="Calibri"/>
                <w:b/>
                <w:bCs/>
                <w:color w:val="000000"/>
                <w:szCs w:val="18"/>
              </w:rPr>
              <w:t>W</w:t>
            </w:r>
          </w:p>
        </w:tc>
        <w:tc>
          <w:tcPr>
            <w:tcW w:w="372" w:type="dxa"/>
            <w:tcBorders>
              <w:top w:val="nil"/>
              <w:left w:val="nil"/>
              <w:bottom w:val="single" w:sz="4" w:space="0" w:color="auto"/>
              <w:right w:val="single" w:sz="4" w:space="0" w:color="auto"/>
            </w:tcBorders>
            <w:shd w:val="clear" w:color="auto" w:fill="D99694"/>
            <w:noWrap/>
            <w:vAlign w:val="center"/>
          </w:tcPr>
          <w:p w14:paraId="04869841" w14:textId="09A6B96A" w:rsidR="00A62147" w:rsidRPr="00C40BBA" w:rsidRDefault="00A62147" w:rsidP="00415B28">
            <w:pPr>
              <w:spacing w:after="0" w:line="240" w:lineRule="auto"/>
              <w:rPr>
                <w:rFonts w:ascii="Calibri" w:hAnsi="Calibri"/>
                <w:b/>
                <w:bCs/>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3A8B9888" w14:textId="00445C74" w:rsidR="00A62147" w:rsidRPr="00C40BBA" w:rsidRDefault="00A62147" w:rsidP="00415B28">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1867659C" w14:textId="77777777" w:rsidR="00A62147" w:rsidRPr="00C40BBA" w:rsidRDefault="00A62147" w:rsidP="00415B28">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1B1E118" w14:textId="77777777" w:rsidR="00A62147" w:rsidRPr="00C40BBA" w:rsidRDefault="00A62147" w:rsidP="00415B28">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015443D" w14:textId="77777777" w:rsidR="00A62147" w:rsidRPr="00C40BBA" w:rsidRDefault="00A62147" w:rsidP="00415B28">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AE7AEEE" w14:textId="77777777" w:rsidR="00A62147" w:rsidRPr="00C40BBA" w:rsidRDefault="00A62147" w:rsidP="00415B28">
            <w:pPr>
              <w:spacing w:after="0" w:line="240" w:lineRule="auto"/>
              <w:rPr>
                <w:rFonts w:ascii="Calibri" w:hAnsi="Calibri"/>
                <w:b/>
                <w:bCs/>
                <w:color w:val="000000"/>
                <w:sz w:val="18"/>
                <w:szCs w:val="18"/>
              </w:rPr>
            </w:pPr>
          </w:p>
        </w:tc>
      </w:tr>
      <w:tr w:rsidR="002A38BD" w:rsidRPr="00AD6E25" w14:paraId="73D26F7E" w14:textId="77777777" w:rsidTr="008C0983">
        <w:trPr>
          <w:gridAfter w:val="1"/>
          <w:wAfter w:w="13" w:type="dxa"/>
          <w:trHeight w:val="696"/>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48E2595B" w14:textId="77777777" w:rsidR="00A62147" w:rsidRPr="00833990" w:rsidRDefault="00A62147" w:rsidP="00415B28">
            <w:pPr>
              <w:spacing w:after="0" w:line="240" w:lineRule="auto"/>
              <w:rPr>
                <w:b/>
                <w:bCs/>
                <w:color w:val="000000"/>
                <w:sz w:val="18"/>
                <w:szCs w:val="18"/>
              </w:rPr>
            </w:pPr>
            <w:r w:rsidRPr="00524654">
              <w:rPr>
                <w:b/>
                <w:bCs/>
                <w:color w:val="000000"/>
                <w:sz w:val="18"/>
                <w:szCs w:val="18"/>
              </w:rPr>
              <w:t>Task 2.2.3</w:t>
            </w:r>
            <w:r>
              <w:rPr>
                <w:b/>
                <w:bCs/>
                <w:color w:val="000000"/>
                <w:sz w:val="18"/>
                <w:szCs w:val="18"/>
              </w:rPr>
              <w:t xml:space="preserve"> </w:t>
            </w:r>
            <w:r w:rsidRPr="00524654">
              <w:rPr>
                <w:b/>
                <w:bCs/>
                <w:color w:val="000000"/>
                <w:sz w:val="18"/>
                <w:szCs w:val="18"/>
              </w:rPr>
              <w:t>Peer review of chapters in the global assessment &amp; revision</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ADD4A" w14:textId="77777777" w:rsidR="00A62147" w:rsidRPr="00833990" w:rsidRDefault="00A62147" w:rsidP="00415B28">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20582292" w14:textId="77777777" w:rsidR="00A62147" w:rsidRPr="00C40BBA" w:rsidRDefault="00A62147" w:rsidP="00415B28">
            <w:pPr>
              <w:spacing w:after="0" w:line="240" w:lineRule="auto"/>
              <w:rPr>
                <w:rFonts w:ascii="Calibri" w:hAnsi="Calibri"/>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703307D7" w14:textId="77777777" w:rsidR="00A62147" w:rsidRPr="00C40BBA" w:rsidRDefault="00A62147" w:rsidP="00415B28">
            <w:pPr>
              <w:spacing w:after="0" w:line="240" w:lineRule="auto"/>
              <w:rPr>
                <w:rFonts w:ascii="Calibri" w:hAnsi="Calibri"/>
                <w:color w:val="000000"/>
                <w:sz w:val="18"/>
                <w:szCs w:val="18"/>
              </w:rPr>
            </w:pPr>
          </w:p>
        </w:tc>
        <w:tc>
          <w:tcPr>
            <w:tcW w:w="410" w:type="dxa"/>
            <w:tcBorders>
              <w:top w:val="nil"/>
              <w:left w:val="nil"/>
              <w:bottom w:val="single" w:sz="4" w:space="0" w:color="auto"/>
              <w:right w:val="single" w:sz="4" w:space="0" w:color="auto"/>
            </w:tcBorders>
            <w:shd w:val="clear" w:color="auto" w:fill="auto"/>
            <w:noWrap/>
            <w:vAlign w:val="center"/>
          </w:tcPr>
          <w:p w14:paraId="70C0A3E9" w14:textId="77777777" w:rsidR="00A62147" w:rsidRPr="009C28BD" w:rsidRDefault="00A62147" w:rsidP="00415B28">
            <w:pPr>
              <w:spacing w:after="0" w:line="240" w:lineRule="auto"/>
              <w:rPr>
                <w:rFonts w:ascii="Calibri" w:hAnsi="Calibri"/>
                <w:b/>
                <w:color w:val="FF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295D158F"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7310E8C9" w14:textId="77777777" w:rsidR="00A62147" w:rsidRPr="00C40BBA" w:rsidRDefault="00A62147" w:rsidP="00415B28">
            <w:pPr>
              <w:spacing w:after="0" w:line="240" w:lineRule="auto"/>
              <w:rPr>
                <w:rFonts w:ascii="Calibri" w:hAnsi="Calibri"/>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6ABF5F0D" w14:textId="77777777" w:rsidR="00A62147" w:rsidRPr="00D76F9C" w:rsidRDefault="00A62147" w:rsidP="00415B28">
            <w:pPr>
              <w:spacing w:after="0" w:line="240" w:lineRule="auto"/>
              <w:rPr>
                <w:rFonts w:ascii="Calibri" w:hAnsi="Calibri"/>
                <w:b/>
                <w:color w:val="000000"/>
                <w:sz w:val="18"/>
                <w:szCs w:val="18"/>
                <w:vertAlign w:val="superscript"/>
              </w:rPr>
            </w:pPr>
          </w:p>
        </w:tc>
        <w:tc>
          <w:tcPr>
            <w:tcW w:w="375" w:type="dxa"/>
            <w:tcBorders>
              <w:top w:val="nil"/>
              <w:left w:val="nil"/>
              <w:bottom w:val="single" w:sz="4" w:space="0" w:color="auto"/>
              <w:right w:val="single" w:sz="4" w:space="0" w:color="auto"/>
            </w:tcBorders>
            <w:shd w:val="clear" w:color="auto" w:fill="auto"/>
            <w:noWrap/>
            <w:vAlign w:val="center"/>
          </w:tcPr>
          <w:p w14:paraId="4AAE75A0" w14:textId="77777777" w:rsidR="00A62147" w:rsidRPr="00C40BBA" w:rsidRDefault="00A62147" w:rsidP="00415B28">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21E3574A" w14:textId="0AE25847" w:rsidR="00A62147" w:rsidRPr="008C0983" w:rsidRDefault="008C0983" w:rsidP="00415B28">
            <w:pPr>
              <w:spacing w:after="0" w:line="240" w:lineRule="auto"/>
              <w:rPr>
                <w:rFonts w:ascii="Calibri" w:hAnsi="Calibri"/>
                <w:b/>
                <w:color w:val="000000"/>
                <w:sz w:val="18"/>
                <w:szCs w:val="18"/>
              </w:rPr>
            </w:pPr>
            <w:r w:rsidRPr="008C0983">
              <w:rPr>
                <w:rFonts w:ascii="Calibri" w:hAnsi="Calibri"/>
                <w:b/>
                <w:color w:val="000000"/>
                <w:sz w:val="18"/>
                <w:szCs w:val="18"/>
              </w:rPr>
              <w:t>M</w:t>
            </w:r>
          </w:p>
        </w:tc>
        <w:tc>
          <w:tcPr>
            <w:tcW w:w="372" w:type="dxa"/>
            <w:tcBorders>
              <w:top w:val="nil"/>
              <w:left w:val="nil"/>
              <w:bottom w:val="single" w:sz="4" w:space="0" w:color="auto"/>
              <w:right w:val="single" w:sz="4" w:space="0" w:color="auto"/>
            </w:tcBorders>
            <w:shd w:val="clear" w:color="auto" w:fill="D99694"/>
            <w:noWrap/>
            <w:vAlign w:val="center"/>
          </w:tcPr>
          <w:p w14:paraId="29987565"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58DC706B" w14:textId="5C23CDE8" w:rsidR="00A62147" w:rsidRPr="00D76F9C" w:rsidRDefault="00A62147" w:rsidP="00415B28">
            <w:pPr>
              <w:spacing w:after="0" w:line="240" w:lineRule="auto"/>
              <w:rPr>
                <w:rFonts w:ascii="Calibri" w:hAnsi="Calibri"/>
                <w:b/>
                <w:color w:val="000000"/>
                <w:sz w:val="18"/>
                <w:szCs w:val="18"/>
              </w:rPr>
            </w:pPr>
          </w:p>
        </w:tc>
        <w:tc>
          <w:tcPr>
            <w:tcW w:w="376" w:type="dxa"/>
            <w:tcBorders>
              <w:top w:val="nil"/>
              <w:left w:val="nil"/>
              <w:bottom w:val="single" w:sz="4" w:space="0" w:color="auto"/>
              <w:right w:val="single" w:sz="4" w:space="0" w:color="auto"/>
            </w:tcBorders>
            <w:shd w:val="clear" w:color="auto" w:fill="D99694"/>
            <w:noWrap/>
            <w:vAlign w:val="center"/>
          </w:tcPr>
          <w:p w14:paraId="1BD192B6" w14:textId="599B8A4F" w:rsidR="00A62147" w:rsidRPr="00C40BBA" w:rsidRDefault="00A62147" w:rsidP="00415B28">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51F621CA"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6A7B1BC5"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FE54928"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6A344F48" w14:textId="77777777" w:rsidR="00A62147" w:rsidRPr="00C40BBA" w:rsidRDefault="00A62147" w:rsidP="00415B28">
            <w:pPr>
              <w:spacing w:after="0" w:line="240" w:lineRule="auto"/>
              <w:rPr>
                <w:rFonts w:ascii="Calibri" w:hAnsi="Calibri"/>
                <w:color w:val="000000"/>
                <w:sz w:val="18"/>
                <w:szCs w:val="18"/>
              </w:rPr>
            </w:pPr>
          </w:p>
        </w:tc>
      </w:tr>
      <w:tr w:rsidR="002A38BD" w:rsidRPr="00AD6E25" w14:paraId="070A98AF" w14:textId="77777777" w:rsidTr="008C0983">
        <w:trPr>
          <w:gridAfter w:val="1"/>
          <w:wAfter w:w="13" w:type="dxa"/>
          <w:trHeight w:val="691"/>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6B0C3C04" w14:textId="77777777" w:rsidR="00A62147" w:rsidRPr="00833990" w:rsidRDefault="00A62147" w:rsidP="00415B28">
            <w:pPr>
              <w:spacing w:after="0" w:line="240" w:lineRule="auto"/>
              <w:rPr>
                <w:b/>
                <w:bCs/>
                <w:color w:val="000000"/>
                <w:sz w:val="18"/>
                <w:szCs w:val="18"/>
              </w:rPr>
            </w:pPr>
            <w:r w:rsidRPr="00524654">
              <w:rPr>
                <w:b/>
                <w:bCs/>
                <w:color w:val="000000"/>
                <w:sz w:val="18"/>
                <w:szCs w:val="18"/>
              </w:rPr>
              <w:t>Task 2.2.4</w:t>
            </w:r>
            <w:r>
              <w:rPr>
                <w:b/>
                <w:bCs/>
                <w:color w:val="000000"/>
                <w:sz w:val="18"/>
                <w:szCs w:val="18"/>
              </w:rPr>
              <w:t xml:space="preserve"> </w:t>
            </w:r>
            <w:r w:rsidRPr="00524654">
              <w:rPr>
                <w:b/>
                <w:bCs/>
                <w:color w:val="000000"/>
                <w:sz w:val="18"/>
                <w:szCs w:val="18"/>
              </w:rPr>
              <w:t>Preparation of summary docs &amp; review with workshop</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76069" w14:textId="77777777" w:rsidR="00A62147" w:rsidRPr="00833990" w:rsidRDefault="00A62147" w:rsidP="00415B28">
            <w:pPr>
              <w:spacing w:after="0" w:line="240" w:lineRule="auto"/>
              <w:jc w:val="center"/>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4BEA78D5" w14:textId="77777777" w:rsidR="00A62147" w:rsidRPr="00C40BBA" w:rsidRDefault="00A62147" w:rsidP="00415B28">
            <w:pPr>
              <w:spacing w:after="0" w:line="240" w:lineRule="auto"/>
              <w:rPr>
                <w:rFonts w:ascii="Calibri" w:hAnsi="Calibri"/>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7D2A514D" w14:textId="77777777" w:rsidR="00A62147" w:rsidRPr="00C40BBA" w:rsidRDefault="00A62147" w:rsidP="00415B28">
            <w:pPr>
              <w:spacing w:after="0" w:line="240" w:lineRule="auto"/>
              <w:rPr>
                <w:rFonts w:ascii="Calibri" w:hAnsi="Calibri"/>
                <w:color w:val="000000"/>
                <w:sz w:val="18"/>
                <w:szCs w:val="18"/>
              </w:rPr>
            </w:pPr>
          </w:p>
        </w:tc>
        <w:tc>
          <w:tcPr>
            <w:tcW w:w="410" w:type="dxa"/>
            <w:tcBorders>
              <w:top w:val="nil"/>
              <w:left w:val="nil"/>
              <w:bottom w:val="single" w:sz="4" w:space="0" w:color="auto"/>
              <w:right w:val="single" w:sz="4" w:space="0" w:color="auto"/>
            </w:tcBorders>
            <w:shd w:val="clear" w:color="auto" w:fill="auto"/>
            <w:noWrap/>
            <w:vAlign w:val="center"/>
          </w:tcPr>
          <w:p w14:paraId="5B7DF394" w14:textId="77777777" w:rsidR="00A62147" w:rsidRPr="00C40BBA" w:rsidRDefault="00A62147" w:rsidP="00415B28">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09F6514E"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999DD53" w14:textId="77777777" w:rsidR="00A62147" w:rsidRPr="00C40BBA" w:rsidRDefault="00A62147" w:rsidP="00415B28">
            <w:pPr>
              <w:spacing w:after="0" w:line="240" w:lineRule="auto"/>
              <w:rPr>
                <w:rFonts w:ascii="Calibri" w:hAnsi="Calibri"/>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2ECC97A3" w14:textId="77777777" w:rsidR="00A62147" w:rsidRPr="00C40BBA" w:rsidRDefault="00A62147" w:rsidP="00415B28">
            <w:pPr>
              <w:spacing w:after="0" w:line="240" w:lineRule="auto"/>
              <w:rPr>
                <w:rFonts w:ascii="Calibri" w:hAnsi="Calibri"/>
                <w:color w:val="000000"/>
                <w:sz w:val="18"/>
                <w:szCs w:val="18"/>
              </w:rPr>
            </w:pPr>
          </w:p>
        </w:tc>
        <w:tc>
          <w:tcPr>
            <w:tcW w:w="375" w:type="dxa"/>
            <w:tcBorders>
              <w:top w:val="nil"/>
              <w:left w:val="nil"/>
              <w:bottom w:val="single" w:sz="4" w:space="0" w:color="auto"/>
              <w:right w:val="single" w:sz="4" w:space="0" w:color="auto"/>
            </w:tcBorders>
            <w:shd w:val="clear" w:color="auto" w:fill="auto"/>
            <w:noWrap/>
            <w:vAlign w:val="center"/>
          </w:tcPr>
          <w:p w14:paraId="79E223ED" w14:textId="77777777" w:rsidR="00A62147" w:rsidRPr="00C40BBA" w:rsidRDefault="00A62147" w:rsidP="00415B28">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73892186"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6ED7F734" w14:textId="77777777" w:rsidR="00A62147" w:rsidRPr="009C28BD" w:rsidRDefault="00A62147" w:rsidP="00415B28">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6E338AE3" w14:textId="77777777" w:rsidR="00A62147" w:rsidRPr="00C40BBA" w:rsidRDefault="00A62147" w:rsidP="00415B28">
            <w:pPr>
              <w:spacing w:after="0" w:line="240" w:lineRule="auto"/>
              <w:rPr>
                <w:rFonts w:ascii="Calibri" w:hAnsi="Calibri"/>
                <w:color w:val="000000"/>
                <w:sz w:val="18"/>
                <w:szCs w:val="18"/>
              </w:rPr>
            </w:pPr>
          </w:p>
        </w:tc>
        <w:tc>
          <w:tcPr>
            <w:tcW w:w="376" w:type="dxa"/>
            <w:tcBorders>
              <w:top w:val="nil"/>
              <w:left w:val="nil"/>
              <w:bottom w:val="single" w:sz="4" w:space="0" w:color="auto"/>
              <w:right w:val="single" w:sz="4" w:space="0" w:color="auto"/>
            </w:tcBorders>
            <w:shd w:val="clear" w:color="auto" w:fill="D99694"/>
            <w:noWrap/>
            <w:vAlign w:val="center"/>
          </w:tcPr>
          <w:p w14:paraId="4A641030" w14:textId="6E6C21A6" w:rsidR="00A62147" w:rsidRPr="00C40BBA" w:rsidRDefault="00A62147" w:rsidP="00415B28">
            <w:pPr>
              <w:spacing w:after="0" w:line="240" w:lineRule="auto"/>
              <w:rPr>
                <w:rFonts w:ascii="Calibri" w:hAnsi="Calibri"/>
                <w:color w:val="000000"/>
              </w:rPr>
            </w:pPr>
          </w:p>
        </w:tc>
        <w:tc>
          <w:tcPr>
            <w:tcW w:w="468" w:type="dxa"/>
            <w:tcBorders>
              <w:top w:val="nil"/>
              <w:left w:val="nil"/>
              <w:bottom w:val="single" w:sz="4" w:space="0" w:color="auto"/>
              <w:right w:val="single" w:sz="4" w:space="0" w:color="auto"/>
            </w:tcBorders>
            <w:shd w:val="clear" w:color="auto" w:fill="D99694"/>
            <w:noWrap/>
            <w:vAlign w:val="center"/>
          </w:tcPr>
          <w:p w14:paraId="7BCDE6AA" w14:textId="5A32E73E" w:rsidR="00A62147" w:rsidRPr="009C28BD" w:rsidRDefault="00B74692" w:rsidP="00415B28">
            <w:pPr>
              <w:spacing w:after="0" w:line="240" w:lineRule="auto"/>
              <w:rPr>
                <w:rFonts w:ascii="Calibri" w:hAnsi="Calibri"/>
                <w:b/>
                <w:color w:val="000000"/>
                <w:sz w:val="18"/>
                <w:szCs w:val="18"/>
              </w:rPr>
            </w:pPr>
            <w:r w:rsidRPr="00B74692">
              <w:rPr>
                <w:rFonts w:ascii="Calibri" w:hAnsi="Calibri"/>
                <w:b/>
                <w:color w:val="000000"/>
                <w:szCs w:val="18"/>
              </w:rPr>
              <w:t>W</w:t>
            </w:r>
          </w:p>
        </w:tc>
        <w:tc>
          <w:tcPr>
            <w:tcW w:w="372" w:type="dxa"/>
            <w:tcBorders>
              <w:top w:val="nil"/>
              <w:left w:val="nil"/>
              <w:bottom w:val="single" w:sz="4" w:space="0" w:color="auto"/>
              <w:right w:val="single" w:sz="4" w:space="0" w:color="auto"/>
            </w:tcBorders>
            <w:shd w:val="clear" w:color="auto" w:fill="D99694"/>
            <w:noWrap/>
            <w:vAlign w:val="center"/>
          </w:tcPr>
          <w:p w14:paraId="2516F0CF"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7C210226"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195C5A8D" w14:textId="77777777" w:rsidR="00A62147" w:rsidRPr="008C0983" w:rsidRDefault="00A62147" w:rsidP="00415B28">
            <w:pPr>
              <w:spacing w:after="0" w:line="240" w:lineRule="auto"/>
              <w:rPr>
                <w:rFonts w:ascii="Calibri" w:hAnsi="Calibri"/>
                <w:b/>
                <w:color w:val="000000"/>
                <w:sz w:val="18"/>
                <w:szCs w:val="18"/>
              </w:rPr>
            </w:pPr>
          </w:p>
        </w:tc>
      </w:tr>
      <w:tr w:rsidR="002A38BD" w:rsidRPr="00AD6E25" w14:paraId="629196B3" w14:textId="77777777" w:rsidTr="008C0983">
        <w:trPr>
          <w:gridAfter w:val="1"/>
          <w:wAfter w:w="13" w:type="dxa"/>
          <w:trHeight w:val="691"/>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3C9033A9" w14:textId="77777777" w:rsidR="00A62147" w:rsidRPr="00A62147" w:rsidRDefault="00A62147" w:rsidP="00415B28">
            <w:pPr>
              <w:spacing w:after="0" w:line="240" w:lineRule="auto"/>
              <w:rPr>
                <w:b/>
                <w:bCs/>
                <w:color w:val="000000"/>
                <w:sz w:val="18"/>
                <w:szCs w:val="18"/>
              </w:rPr>
            </w:pPr>
            <w:r w:rsidRPr="00524654">
              <w:rPr>
                <w:b/>
                <w:bCs/>
                <w:color w:val="000000"/>
                <w:sz w:val="18"/>
                <w:szCs w:val="18"/>
              </w:rPr>
              <w:t>Task 2.2.5</w:t>
            </w:r>
            <w:r>
              <w:rPr>
                <w:b/>
                <w:bCs/>
                <w:color w:val="000000"/>
                <w:sz w:val="18"/>
                <w:szCs w:val="18"/>
              </w:rPr>
              <w:t xml:space="preserve"> </w:t>
            </w:r>
            <w:r w:rsidRPr="00524654">
              <w:rPr>
                <w:b/>
                <w:bCs/>
                <w:color w:val="000000"/>
                <w:sz w:val="18"/>
                <w:szCs w:val="18"/>
              </w:rPr>
              <w:t>Publishing &amp; distribution of consolidated assessment</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ABC2E" w14:textId="77777777" w:rsidR="00A62147" w:rsidRPr="00833990" w:rsidRDefault="00A62147" w:rsidP="00415B28">
            <w:pPr>
              <w:spacing w:after="0" w:line="240" w:lineRule="auto"/>
              <w:jc w:val="center"/>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33B1E5C3" w14:textId="77777777" w:rsidR="00A62147" w:rsidRPr="00C40BBA" w:rsidRDefault="00A62147" w:rsidP="00415B28">
            <w:pPr>
              <w:spacing w:after="0" w:line="240" w:lineRule="auto"/>
              <w:rPr>
                <w:rFonts w:ascii="Calibri" w:hAnsi="Calibri"/>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4AC83465" w14:textId="77777777" w:rsidR="00A62147" w:rsidRPr="00C40BBA" w:rsidRDefault="00A62147" w:rsidP="00415B28">
            <w:pPr>
              <w:spacing w:after="0" w:line="240" w:lineRule="auto"/>
              <w:rPr>
                <w:rFonts w:ascii="Calibri" w:hAnsi="Calibri"/>
                <w:color w:val="000000"/>
                <w:sz w:val="18"/>
                <w:szCs w:val="18"/>
              </w:rPr>
            </w:pPr>
          </w:p>
        </w:tc>
        <w:tc>
          <w:tcPr>
            <w:tcW w:w="410" w:type="dxa"/>
            <w:tcBorders>
              <w:top w:val="nil"/>
              <w:left w:val="nil"/>
              <w:bottom w:val="single" w:sz="4" w:space="0" w:color="auto"/>
              <w:right w:val="single" w:sz="4" w:space="0" w:color="auto"/>
            </w:tcBorders>
            <w:shd w:val="clear" w:color="auto" w:fill="auto"/>
            <w:noWrap/>
            <w:vAlign w:val="center"/>
          </w:tcPr>
          <w:p w14:paraId="7D8EED44" w14:textId="77777777" w:rsidR="00A62147" w:rsidRPr="00C40BBA" w:rsidRDefault="00A62147" w:rsidP="00415B28">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6F313D17"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F019111" w14:textId="77777777" w:rsidR="00A62147" w:rsidRPr="00C40BBA" w:rsidRDefault="00A62147" w:rsidP="00415B28">
            <w:pPr>
              <w:spacing w:after="0" w:line="240" w:lineRule="auto"/>
              <w:rPr>
                <w:rFonts w:ascii="Calibri" w:hAnsi="Calibri"/>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0A2720CE" w14:textId="77777777" w:rsidR="00A62147" w:rsidRPr="00C40BBA" w:rsidRDefault="00A62147" w:rsidP="00415B28">
            <w:pPr>
              <w:spacing w:after="0" w:line="240" w:lineRule="auto"/>
              <w:rPr>
                <w:rFonts w:ascii="Calibri" w:hAnsi="Calibri"/>
                <w:color w:val="000000"/>
                <w:sz w:val="18"/>
                <w:szCs w:val="18"/>
              </w:rPr>
            </w:pPr>
          </w:p>
        </w:tc>
        <w:tc>
          <w:tcPr>
            <w:tcW w:w="375" w:type="dxa"/>
            <w:tcBorders>
              <w:top w:val="nil"/>
              <w:left w:val="nil"/>
              <w:bottom w:val="single" w:sz="4" w:space="0" w:color="auto"/>
              <w:right w:val="single" w:sz="4" w:space="0" w:color="auto"/>
            </w:tcBorders>
            <w:shd w:val="clear" w:color="auto" w:fill="auto"/>
            <w:noWrap/>
            <w:vAlign w:val="center"/>
          </w:tcPr>
          <w:p w14:paraId="1A223A55" w14:textId="77777777" w:rsidR="00A62147" w:rsidRPr="00C40BBA" w:rsidRDefault="00A62147" w:rsidP="00415B28">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2E248AE6"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AF15FFD" w14:textId="77777777" w:rsidR="00A62147" w:rsidRPr="009C28BD" w:rsidRDefault="00A62147" w:rsidP="00415B28">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28FC3CDC" w14:textId="77777777" w:rsidR="00A62147" w:rsidRPr="00C40BBA" w:rsidRDefault="00A62147" w:rsidP="00415B28">
            <w:pPr>
              <w:spacing w:after="0" w:line="240" w:lineRule="auto"/>
              <w:rPr>
                <w:rFonts w:ascii="Calibri" w:hAnsi="Calibri"/>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6FB7967E" w14:textId="77777777" w:rsidR="00A62147" w:rsidRPr="00C40BBA" w:rsidRDefault="00A62147" w:rsidP="00415B28">
            <w:pPr>
              <w:spacing w:after="0" w:line="240" w:lineRule="auto"/>
              <w:rPr>
                <w:rFonts w:ascii="Calibri" w:hAnsi="Calibri"/>
                <w:color w:val="000000"/>
              </w:rPr>
            </w:pPr>
          </w:p>
        </w:tc>
        <w:tc>
          <w:tcPr>
            <w:tcW w:w="468" w:type="dxa"/>
            <w:tcBorders>
              <w:top w:val="nil"/>
              <w:left w:val="nil"/>
              <w:bottom w:val="single" w:sz="4" w:space="0" w:color="auto"/>
              <w:right w:val="single" w:sz="4" w:space="0" w:color="auto"/>
            </w:tcBorders>
            <w:shd w:val="clear" w:color="auto" w:fill="D99694"/>
            <w:noWrap/>
            <w:vAlign w:val="center"/>
          </w:tcPr>
          <w:p w14:paraId="7115400E" w14:textId="77777777" w:rsidR="00A62147" w:rsidRPr="009C28BD" w:rsidRDefault="00A62147" w:rsidP="00415B28">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574742A9"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63D524AF" w14:textId="77777777" w:rsidR="00A62147" w:rsidRPr="00C40BBA" w:rsidRDefault="00A62147" w:rsidP="00415B28">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426901A2" w14:textId="77777777" w:rsidR="00A62147" w:rsidRPr="008C0983" w:rsidRDefault="008C0983" w:rsidP="00415B28">
            <w:pPr>
              <w:spacing w:after="0" w:line="240" w:lineRule="auto"/>
              <w:rPr>
                <w:rFonts w:ascii="Calibri" w:hAnsi="Calibri"/>
                <w:b/>
                <w:color w:val="000000"/>
                <w:sz w:val="18"/>
                <w:szCs w:val="18"/>
              </w:rPr>
            </w:pPr>
            <w:r w:rsidRPr="008C0983">
              <w:rPr>
                <w:rFonts w:ascii="Calibri" w:hAnsi="Calibri"/>
                <w:b/>
                <w:color w:val="000000"/>
                <w:sz w:val="18"/>
                <w:szCs w:val="18"/>
              </w:rPr>
              <w:t>R</w:t>
            </w:r>
          </w:p>
          <w:p w14:paraId="02ED3EDF" w14:textId="132B4FB7" w:rsidR="008C0983" w:rsidRPr="008C0983" w:rsidRDefault="00B74692" w:rsidP="00415B28">
            <w:pPr>
              <w:spacing w:after="0" w:line="240" w:lineRule="auto"/>
              <w:rPr>
                <w:rFonts w:ascii="Calibri" w:hAnsi="Calibri"/>
                <w:b/>
                <w:color w:val="000000"/>
                <w:sz w:val="18"/>
                <w:szCs w:val="18"/>
              </w:rPr>
            </w:pPr>
            <w:r w:rsidRPr="00B74692">
              <w:rPr>
                <w:rFonts w:ascii="Calibri" w:hAnsi="Calibri"/>
                <w:b/>
                <w:color w:val="000000"/>
                <w:szCs w:val="18"/>
              </w:rPr>
              <w:t>W</w:t>
            </w:r>
          </w:p>
        </w:tc>
      </w:tr>
      <w:tr w:rsidR="002A38BD" w:rsidRPr="00AD6E25" w14:paraId="7C02BDC8" w14:textId="77777777" w:rsidTr="008C0983">
        <w:trPr>
          <w:gridAfter w:val="1"/>
          <w:wAfter w:w="13" w:type="dxa"/>
          <w:trHeight w:val="584"/>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064F38E2" w14:textId="51707260" w:rsidR="00A62147" w:rsidRDefault="00A62147" w:rsidP="00415B28">
            <w:pPr>
              <w:spacing w:after="0" w:line="240" w:lineRule="auto"/>
              <w:rPr>
                <w:b/>
                <w:bCs/>
                <w:color w:val="000000"/>
                <w:sz w:val="18"/>
                <w:szCs w:val="18"/>
              </w:rPr>
            </w:pPr>
            <w:r>
              <w:rPr>
                <w:b/>
                <w:bCs/>
                <w:color w:val="000000"/>
                <w:sz w:val="18"/>
                <w:szCs w:val="18"/>
              </w:rPr>
              <w:t>Monitoring and Evaluation</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5F724" w14:textId="77777777" w:rsidR="00A62147" w:rsidRPr="00833990" w:rsidRDefault="00A62147" w:rsidP="00415B28">
            <w:pPr>
              <w:spacing w:after="0" w:line="240" w:lineRule="auto"/>
              <w:rPr>
                <w:b/>
                <w:bCs/>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center"/>
          </w:tcPr>
          <w:p w14:paraId="1F26ED08" w14:textId="77777777" w:rsidR="00A62147" w:rsidRPr="00D76F9C" w:rsidRDefault="00A62147" w:rsidP="00415B28">
            <w:pPr>
              <w:spacing w:after="0" w:line="240" w:lineRule="auto"/>
              <w:jc w:val="center"/>
              <w:rPr>
                <w:b/>
                <w:bCs/>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center"/>
          </w:tcPr>
          <w:p w14:paraId="3360144A" w14:textId="77777777" w:rsidR="00A62147" w:rsidRPr="00D76F9C" w:rsidRDefault="00A62147" w:rsidP="00415B28">
            <w:pPr>
              <w:spacing w:after="0" w:line="240" w:lineRule="auto"/>
              <w:rPr>
                <w:b/>
                <w:bCs/>
                <w:color w:val="000000"/>
                <w:sz w:val="18"/>
                <w:szCs w:val="18"/>
              </w:rPr>
            </w:pP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07F72032" w14:textId="77777777" w:rsidR="00A62147" w:rsidRPr="00D76F9C" w:rsidRDefault="00A62147" w:rsidP="00415B28">
            <w:pPr>
              <w:spacing w:after="0" w:line="240" w:lineRule="auto"/>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2E9AD251" w14:textId="24ED4C00" w:rsidR="00A62147" w:rsidRPr="00D76F9C" w:rsidRDefault="008C0983"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04833117" w14:textId="77777777" w:rsidR="00A62147" w:rsidRPr="00D76F9C" w:rsidRDefault="00A62147" w:rsidP="00415B28">
            <w:pPr>
              <w:spacing w:after="0" w:line="240" w:lineRule="auto"/>
              <w:rPr>
                <w:b/>
                <w:bCs/>
                <w:color w:val="000000"/>
                <w:sz w:val="18"/>
                <w:szCs w:val="18"/>
              </w:rPr>
            </w:pP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37FEF3A8" w14:textId="77777777" w:rsidR="00A62147" w:rsidRPr="00D76F9C" w:rsidRDefault="00A62147" w:rsidP="00415B28">
            <w:pPr>
              <w:spacing w:after="0" w:line="240" w:lineRule="auto"/>
              <w:rPr>
                <w:b/>
                <w:bCs/>
                <w:color w:val="000000"/>
                <w:sz w:val="18"/>
                <w:szCs w:val="18"/>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14:paraId="4AD645A1" w14:textId="77777777" w:rsidR="00A62147" w:rsidRPr="00D76F9C" w:rsidRDefault="00A62147" w:rsidP="00415B28">
            <w:pPr>
              <w:spacing w:after="0" w:line="240" w:lineRule="auto"/>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193A03E9" w14:textId="3E896E32" w:rsidR="00A62147" w:rsidRPr="00D76F9C" w:rsidRDefault="008C0983"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61B4D3FD" w14:textId="77777777" w:rsidR="00A62147" w:rsidRPr="00D76F9C" w:rsidRDefault="00A62147"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713582A6" w14:textId="77777777" w:rsidR="00A62147" w:rsidRPr="00D76F9C" w:rsidRDefault="00A62147" w:rsidP="00415B28">
            <w:pPr>
              <w:spacing w:after="0" w:line="240" w:lineRule="auto"/>
              <w:rPr>
                <w:b/>
                <w:bCs/>
                <w:color w:val="000000"/>
                <w:sz w:val="18"/>
                <w:szCs w:val="18"/>
              </w:rPr>
            </w:pPr>
          </w:p>
        </w:tc>
        <w:tc>
          <w:tcPr>
            <w:tcW w:w="376" w:type="dxa"/>
            <w:tcBorders>
              <w:top w:val="single" w:sz="4" w:space="0" w:color="auto"/>
              <w:left w:val="nil"/>
              <w:bottom w:val="single" w:sz="4" w:space="0" w:color="auto"/>
              <w:right w:val="single" w:sz="4" w:space="0" w:color="auto"/>
            </w:tcBorders>
            <w:shd w:val="clear" w:color="auto" w:fill="auto"/>
            <w:noWrap/>
            <w:vAlign w:val="center"/>
          </w:tcPr>
          <w:p w14:paraId="2CE2102B" w14:textId="77777777" w:rsidR="00A62147" w:rsidRPr="00D76F9C" w:rsidRDefault="00A62147" w:rsidP="00415B28">
            <w:pPr>
              <w:spacing w:after="0" w:line="240" w:lineRule="auto"/>
              <w:jc w:val="center"/>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779310D1" w14:textId="395557F8" w:rsidR="00A62147" w:rsidRPr="00D76F9C" w:rsidRDefault="008C0983"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5FF921E7" w14:textId="77777777" w:rsidR="00A62147" w:rsidRPr="00D76F9C" w:rsidRDefault="00A62147"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73967E0C" w14:textId="77777777" w:rsidR="00A62147" w:rsidRPr="00D76F9C" w:rsidRDefault="00A62147"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D99694"/>
            <w:noWrap/>
            <w:vAlign w:val="center"/>
          </w:tcPr>
          <w:p w14:paraId="6F6E781C" w14:textId="1A1C9CD6" w:rsidR="00A62147" w:rsidRPr="00D76F9C" w:rsidRDefault="008C0983" w:rsidP="00415B28">
            <w:pPr>
              <w:spacing w:after="0" w:line="240" w:lineRule="auto"/>
              <w:rPr>
                <w:b/>
                <w:bCs/>
                <w:color w:val="000000"/>
                <w:sz w:val="18"/>
                <w:szCs w:val="18"/>
              </w:rPr>
            </w:pPr>
            <w:r>
              <w:rPr>
                <w:b/>
                <w:bCs/>
                <w:color w:val="000000"/>
                <w:sz w:val="18"/>
                <w:szCs w:val="18"/>
              </w:rPr>
              <w:t>R</w:t>
            </w:r>
          </w:p>
        </w:tc>
      </w:tr>
    </w:tbl>
    <w:p w14:paraId="18D777EF" w14:textId="77777777" w:rsidR="00A62147" w:rsidRDefault="00A62147" w:rsidP="00175689"/>
    <w:p w14:paraId="77C34268" w14:textId="77777777" w:rsidR="00A62147" w:rsidRDefault="00A62147" w:rsidP="00175689"/>
    <w:tbl>
      <w:tblPr>
        <w:tblW w:w="11300" w:type="dxa"/>
        <w:jc w:val="center"/>
        <w:tblLayout w:type="fixed"/>
        <w:tblLook w:val="04A0" w:firstRow="1" w:lastRow="0" w:firstColumn="1" w:lastColumn="0" w:noHBand="0" w:noVBand="1"/>
      </w:tblPr>
      <w:tblGrid>
        <w:gridCol w:w="4857"/>
        <w:gridCol w:w="404"/>
        <w:gridCol w:w="406"/>
        <w:gridCol w:w="406"/>
        <w:gridCol w:w="410"/>
        <w:gridCol w:w="468"/>
        <w:gridCol w:w="372"/>
        <w:gridCol w:w="417"/>
        <w:gridCol w:w="375"/>
        <w:gridCol w:w="468"/>
        <w:gridCol w:w="372"/>
        <w:gridCol w:w="372"/>
        <w:gridCol w:w="376"/>
        <w:gridCol w:w="468"/>
        <w:gridCol w:w="372"/>
        <w:gridCol w:w="372"/>
        <w:gridCol w:w="372"/>
        <w:gridCol w:w="13"/>
      </w:tblGrid>
      <w:tr w:rsidR="002A38BD" w:rsidRPr="00AD6E25" w14:paraId="7FA4332E" w14:textId="77777777" w:rsidTr="00415B28">
        <w:trPr>
          <w:trHeight w:val="639"/>
          <w:tblHeader/>
          <w:jc w:val="center"/>
        </w:trPr>
        <w:tc>
          <w:tcPr>
            <w:tcW w:w="485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3AF2C80" w14:textId="3B8078C6" w:rsidR="00175689" w:rsidRPr="00AD6E25" w:rsidRDefault="00A62147" w:rsidP="00415B28">
            <w:pPr>
              <w:spacing w:after="0" w:line="240" w:lineRule="auto"/>
              <w:rPr>
                <w:rFonts w:ascii="Calibri" w:hAnsi="Calibri"/>
                <w:b/>
                <w:bCs/>
                <w:color w:val="FFFFFF"/>
                <w:sz w:val="28"/>
                <w:szCs w:val="28"/>
              </w:rPr>
            </w:pPr>
            <w:r w:rsidRPr="00A62147">
              <w:rPr>
                <w:rFonts w:ascii="Calibri" w:hAnsi="Calibri"/>
                <w:b/>
                <w:bCs/>
                <w:color w:val="FFFFFF"/>
                <w:sz w:val="28"/>
                <w:szCs w:val="28"/>
              </w:rPr>
              <w:lastRenderedPageBreak/>
              <w:t>Activity 2.3 Integrating methods, measures &amp; good practices to address issues of excess &amp; insufficient Nr</w:t>
            </w:r>
          </w:p>
        </w:tc>
        <w:tc>
          <w:tcPr>
            <w:tcW w:w="1626"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024B0FBB"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1</w:t>
            </w:r>
          </w:p>
        </w:tc>
        <w:tc>
          <w:tcPr>
            <w:tcW w:w="1632"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14A73B9F"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2</w:t>
            </w:r>
          </w:p>
        </w:tc>
        <w:tc>
          <w:tcPr>
            <w:tcW w:w="1588"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6EA70F90"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3</w:t>
            </w:r>
          </w:p>
        </w:tc>
        <w:tc>
          <w:tcPr>
            <w:tcW w:w="1597" w:type="dxa"/>
            <w:gridSpan w:val="5"/>
            <w:tcBorders>
              <w:top w:val="single" w:sz="4" w:space="0" w:color="auto"/>
              <w:left w:val="nil"/>
              <w:bottom w:val="single" w:sz="4" w:space="0" w:color="auto"/>
              <w:right w:val="single" w:sz="4" w:space="0" w:color="auto"/>
            </w:tcBorders>
            <w:shd w:val="clear" w:color="000000" w:fill="305496"/>
            <w:noWrap/>
            <w:vAlign w:val="center"/>
            <w:hideMark/>
          </w:tcPr>
          <w:p w14:paraId="1A0CFF20"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4</w:t>
            </w:r>
          </w:p>
        </w:tc>
      </w:tr>
      <w:tr w:rsidR="002A38BD" w:rsidRPr="00AD6E25" w14:paraId="26634098" w14:textId="77777777" w:rsidTr="00415B28">
        <w:trPr>
          <w:gridAfter w:val="1"/>
          <w:wAfter w:w="13" w:type="dxa"/>
          <w:trHeight w:val="365"/>
          <w:tblHeader/>
          <w:jc w:val="center"/>
        </w:trPr>
        <w:tc>
          <w:tcPr>
            <w:tcW w:w="485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94C73A1" w14:textId="77777777" w:rsidR="00175689" w:rsidRPr="00AD6E25" w:rsidRDefault="00175689" w:rsidP="00415B28">
            <w:pPr>
              <w:spacing w:after="0" w:line="240" w:lineRule="auto"/>
              <w:rPr>
                <w:color w:val="000000"/>
              </w:rPr>
            </w:pPr>
            <w:r w:rsidRPr="00AD6E25">
              <w:rPr>
                <w:color w:val="000000"/>
              </w:rPr>
              <w:t> </w:t>
            </w:r>
          </w:p>
        </w:tc>
        <w:tc>
          <w:tcPr>
            <w:tcW w:w="404" w:type="dxa"/>
            <w:tcBorders>
              <w:top w:val="single" w:sz="4" w:space="0" w:color="auto"/>
              <w:left w:val="nil"/>
              <w:bottom w:val="single" w:sz="4" w:space="0" w:color="auto"/>
              <w:right w:val="single" w:sz="4" w:space="0" w:color="auto"/>
            </w:tcBorders>
            <w:shd w:val="clear" w:color="000000" w:fill="305496"/>
            <w:noWrap/>
            <w:vAlign w:val="center"/>
            <w:hideMark/>
          </w:tcPr>
          <w:p w14:paraId="64FCD482"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Q1</w:t>
            </w:r>
          </w:p>
        </w:tc>
        <w:tc>
          <w:tcPr>
            <w:tcW w:w="406" w:type="dxa"/>
            <w:tcBorders>
              <w:top w:val="nil"/>
              <w:left w:val="nil"/>
              <w:bottom w:val="single" w:sz="4" w:space="0" w:color="auto"/>
              <w:right w:val="single" w:sz="4" w:space="0" w:color="auto"/>
            </w:tcBorders>
            <w:shd w:val="clear" w:color="000000" w:fill="305496"/>
            <w:noWrap/>
            <w:vAlign w:val="center"/>
            <w:hideMark/>
          </w:tcPr>
          <w:p w14:paraId="52716414"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406" w:type="dxa"/>
            <w:tcBorders>
              <w:top w:val="nil"/>
              <w:left w:val="nil"/>
              <w:bottom w:val="single" w:sz="4" w:space="0" w:color="auto"/>
              <w:right w:val="single" w:sz="4" w:space="0" w:color="auto"/>
            </w:tcBorders>
            <w:shd w:val="clear" w:color="000000" w:fill="305496"/>
            <w:noWrap/>
            <w:vAlign w:val="center"/>
            <w:hideMark/>
          </w:tcPr>
          <w:p w14:paraId="63193FD6"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410" w:type="dxa"/>
            <w:tcBorders>
              <w:top w:val="nil"/>
              <w:left w:val="nil"/>
              <w:bottom w:val="single" w:sz="4" w:space="0" w:color="auto"/>
              <w:right w:val="single" w:sz="4" w:space="0" w:color="auto"/>
            </w:tcBorders>
            <w:shd w:val="clear" w:color="000000" w:fill="305496"/>
            <w:noWrap/>
            <w:vAlign w:val="center"/>
            <w:hideMark/>
          </w:tcPr>
          <w:p w14:paraId="5AB2D626"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19CE4EBE" w14:textId="286C0381"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1AAF87D2"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417" w:type="dxa"/>
            <w:tcBorders>
              <w:top w:val="nil"/>
              <w:left w:val="nil"/>
              <w:bottom w:val="single" w:sz="4" w:space="0" w:color="auto"/>
              <w:right w:val="single" w:sz="4" w:space="0" w:color="auto"/>
            </w:tcBorders>
            <w:shd w:val="clear" w:color="000000" w:fill="305496"/>
            <w:noWrap/>
            <w:vAlign w:val="center"/>
            <w:hideMark/>
          </w:tcPr>
          <w:p w14:paraId="5AFA50FD"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5" w:type="dxa"/>
            <w:tcBorders>
              <w:top w:val="nil"/>
              <w:left w:val="nil"/>
              <w:bottom w:val="single" w:sz="4" w:space="0" w:color="auto"/>
              <w:right w:val="single" w:sz="4" w:space="0" w:color="auto"/>
            </w:tcBorders>
            <w:shd w:val="clear" w:color="000000" w:fill="305496"/>
            <w:noWrap/>
            <w:vAlign w:val="center"/>
            <w:hideMark/>
          </w:tcPr>
          <w:p w14:paraId="5001E19C"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7339067E" w14:textId="2371ECDF"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B122D7">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6DBB1465"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372" w:type="dxa"/>
            <w:tcBorders>
              <w:top w:val="nil"/>
              <w:left w:val="nil"/>
              <w:bottom w:val="single" w:sz="4" w:space="0" w:color="auto"/>
              <w:right w:val="single" w:sz="4" w:space="0" w:color="auto"/>
            </w:tcBorders>
            <w:shd w:val="clear" w:color="000000" w:fill="305496"/>
            <w:noWrap/>
            <w:vAlign w:val="center"/>
            <w:hideMark/>
          </w:tcPr>
          <w:p w14:paraId="3D0A5403"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6" w:type="dxa"/>
            <w:tcBorders>
              <w:top w:val="nil"/>
              <w:left w:val="nil"/>
              <w:bottom w:val="single" w:sz="4" w:space="0" w:color="auto"/>
              <w:right w:val="single" w:sz="4" w:space="0" w:color="auto"/>
            </w:tcBorders>
            <w:shd w:val="clear" w:color="000000" w:fill="305496"/>
            <w:noWrap/>
            <w:vAlign w:val="center"/>
            <w:hideMark/>
          </w:tcPr>
          <w:p w14:paraId="5045D187"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21840B1A" w14:textId="6498DE4F"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B122D7">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61AA9CDD"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372" w:type="dxa"/>
            <w:tcBorders>
              <w:top w:val="nil"/>
              <w:left w:val="nil"/>
              <w:bottom w:val="single" w:sz="4" w:space="0" w:color="auto"/>
              <w:right w:val="single" w:sz="4" w:space="0" w:color="auto"/>
            </w:tcBorders>
            <w:shd w:val="clear" w:color="000000" w:fill="305496"/>
            <w:noWrap/>
            <w:vAlign w:val="center"/>
            <w:hideMark/>
          </w:tcPr>
          <w:p w14:paraId="6950C1DE"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2" w:type="dxa"/>
            <w:tcBorders>
              <w:top w:val="nil"/>
              <w:left w:val="nil"/>
              <w:bottom w:val="single" w:sz="4" w:space="0" w:color="auto"/>
              <w:right w:val="single" w:sz="4" w:space="0" w:color="auto"/>
            </w:tcBorders>
            <w:shd w:val="clear" w:color="000000" w:fill="305496"/>
            <w:noWrap/>
            <w:vAlign w:val="center"/>
            <w:hideMark/>
          </w:tcPr>
          <w:p w14:paraId="5A2A5DF4"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r>
      <w:tr w:rsidR="002A38BD" w:rsidRPr="00AD6E25" w14:paraId="46B7AE1E" w14:textId="77777777" w:rsidTr="00B122D7">
        <w:trPr>
          <w:gridAfter w:val="1"/>
          <w:wAfter w:w="13" w:type="dxa"/>
          <w:trHeight w:val="876"/>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09E1287D" w14:textId="570E79E3" w:rsidR="00A62147" w:rsidRPr="00833990" w:rsidRDefault="00A62147" w:rsidP="00A62147">
            <w:pPr>
              <w:spacing w:after="0" w:line="240" w:lineRule="auto"/>
              <w:rPr>
                <w:b/>
                <w:bCs/>
                <w:color w:val="000000"/>
                <w:sz w:val="18"/>
                <w:szCs w:val="18"/>
              </w:rPr>
            </w:pPr>
            <w:r w:rsidRPr="00A62147">
              <w:rPr>
                <w:b/>
                <w:bCs/>
                <w:color w:val="000000"/>
                <w:sz w:val="18"/>
                <w:szCs w:val="18"/>
              </w:rPr>
              <w:t>Task 2.3.1 Preparation of documents on state of the art for N good practices (N form, N effects etc)</w:t>
            </w:r>
          </w:p>
        </w:tc>
        <w:tc>
          <w:tcPr>
            <w:tcW w:w="404" w:type="dxa"/>
            <w:tcBorders>
              <w:top w:val="single" w:sz="4" w:space="0" w:color="auto"/>
              <w:left w:val="single" w:sz="4" w:space="0" w:color="auto"/>
              <w:bottom w:val="single" w:sz="4" w:space="0" w:color="auto"/>
              <w:right w:val="single" w:sz="4" w:space="0" w:color="auto"/>
            </w:tcBorders>
            <w:shd w:val="clear" w:color="auto" w:fill="D99694"/>
            <w:noWrap/>
            <w:vAlign w:val="center"/>
          </w:tcPr>
          <w:p w14:paraId="1DDB0CB1" w14:textId="77777777" w:rsidR="00A62147" w:rsidRPr="00833990"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D99694"/>
            <w:noWrap/>
            <w:vAlign w:val="center"/>
          </w:tcPr>
          <w:p w14:paraId="7782AE80" w14:textId="58D893DE" w:rsidR="00A62147" w:rsidRPr="00C40BBA" w:rsidRDefault="00E63547" w:rsidP="00A62147">
            <w:pPr>
              <w:spacing w:after="0" w:line="240" w:lineRule="auto"/>
              <w:rPr>
                <w:rFonts w:ascii="Calibri" w:hAnsi="Calibri"/>
                <w:b/>
                <w:bCs/>
                <w:color w:val="000000"/>
                <w:sz w:val="18"/>
                <w:szCs w:val="18"/>
              </w:rPr>
            </w:pPr>
            <w:r w:rsidRPr="00E63547">
              <w:rPr>
                <w:rFonts w:ascii="Calibri" w:hAnsi="Calibri"/>
                <w:b/>
                <w:bCs/>
                <w:color w:val="000000"/>
                <w:szCs w:val="18"/>
              </w:rPr>
              <w:t>W</w:t>
            </w:r>
          </w:p>
        </w:tc>
        <w:tc>
          <w:tcPr>
            <w:tcW w:w="406" w:type="dxa"/>
            <w:tcBorders>
              <w:top w:val="nil"/>
              <w:left w:val="nil"/>
              <w:bottom w:val="single" w:sz="4" w:space="0" w:color="auto"/>
              <w:right w:val="single" w:sz="4" w:space="0" w:color="auto"/>
            </w:tcBorders>
            <w:shd w:val="clear" w:color="auto" w:fill="D99694"/>
            <w:noWrap/>
            <w:vAlign w:val="center"/>
          </w:tcPr>
          <w:p w14:paraId="6B6D5A49" w14:textId="77777777" w:rsidR="00A62147" w:rsidRPr="00C40BBA" w:rsidRDefault="00A62147" w:rsidP="00A62147">
            <w:pPr>
              <w:spacing w:after="0" w:line="240" w:lineRule="auto"/>
              <w:rPr>
                <w:rFonts w:ascii="Calibri" w:hAnsi="Calibri"/>
                <w:b/>
                <w:bCs/>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5D2D910A" w14:textId="4285D610" w:rsidR="00A62147" w:rsidRPr="00C40BBA" w:rsidRDefault="00B122D7" w:rsidP="00A62147">
            <w:pPr>
              <w:spacing w:after="0" w:line="240" w:lineRule="auto"/>
              <w:rPr>
                <w:rFonts w:ascii="Calibri" w:hAnsi="Calibri"/>
                <w:b/>
                <w:bCs/>
                <w:color w:val="000000"/>
                <w:sz w:val="18"/>
                <w:szCs w:val="18"/>
              </w:rPr>
            </w:pPr>
            <w:r>
              <w:rPr>
                <w:rFonts w:ascii="Calibri" w:hAnsi="Calibri"/>
                <w:b/>
                <w:bCs/>
                <w:color w:val="000000"/>
                <w:sz w:val="18"/>
                <w:szCs w:val="18"/>
              </w:rPr>
              <w:t>R</w:t>
            </w:r>
          </w:p>
        </w:tc>
        <w:tc>
          <w:tcPr>
            <w:tcW w:w="468" w:type="dxa"/>
            <w:tcBorders>
              <w:top w:val="nil"/>
              <w:left w:val="nil"/>
              <w:bottom w:val="single" w:sz="4" w:space="0" w:color="auto"/>
              <w:right w:val="single" w:sz="4" w:space="0" w:color="auto"/>
            </w:tcBorders>
            <w:shd w:val="clear" w:color="auto" w:fill="auto"/>
            <w:noWrap/>
            <w:vAlign w:val="center"/>
          </w:tcPr>
          <w:p w14:paraId="3822037A"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BEC26CE" w14:textId="77777777" w:rsidR="00A62147" w:rsidRPr="00C40BBA" w:rsidRDefault="00A62147" w:rsidP="00A62147">
            <w:pPr>
              <w:spacing w:after="0" w:line="240" w:lineRule="auto"/>
              <w:rPr>
                <w:rFonts w:ascii="Calibri" w:hAnsi="Calibri"/>
                <w:b/>
                <w:bCs/>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7D996B3F" w14:textId="77777777" w:rsidR="00A62147" w:rsidRPr="00C40BBA" w:rsidRDefault="00A62147" w:rsidP="00A62147">
            <w:pPr>
              <w:spacing w:after="0" w:line="240" w:lineRule="auto"/>
              <w:jc w:val="center"/>
              <w:rPr>
                <w:rFonts w:ascii="Calibri" w:hAnsi="Calibri"/>
                <w:b/>
                <w:bCs/>
                <w:color w:val="000000"/>
                <w:sz w:val="18"/>
                <w:szCs w:val="18"/>
              </w:rPr>
            </w:pPr>
          </w:p>
        </w:tc>
        <w:tc>
          <w:tcPr>
            <w:tcW w:w="375" w:type="dxa"/>
            <w:tcBorders>
              <w:top w:val="nil"/>
              <w:left w:val="nil"/>
              <w:bottom w:val="single" w:sz="4" w:space="0" w:color="auto"/>
              <w:right w:val="single" w:sz="4" w:space="0" w:color="auto"/>
            </w:tcBorders>
            <w:shd w:val="clear" w:color="auto" w:fill="auto"/>
            <w:noWrap/>
            <w:vAlign w:val="center"/>
          </w:tcPr>
          <w:p w14:paraId="01B45BDB"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7F349FB8"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20E05AC5"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A070AF6" w14:textId="77777777" w:rsidR="00A62147" w:rsidRPr="00C40BBA" w:rsidRDefault="00A62147" w:rsidP="00A62147">
            <w:pPr>
              <w:spacing w:after="0" w:line="240" w:lineRule="auto"/>
              <w:rPr>
                <w:rFonts w:ascii="Calibri" w:hAnsi="Calibri"/>
                <w:b/>
                <w:bCs/>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5B3C5F93"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362B6CEF"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AFEE132"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F1202DE"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104F855" w14:textId="77777777" w:rsidR="00A62147" w:rsidRPr="00C40BBA" w:rsidRDefault="00A62147" w:rsidP="00A62147">
            <w:pPr>
              <w:spacing w:after="0" w:line="240" w:lineRule="auto"/>
              <w:rPr>
                <w:rFonts w:ascii="Calibri" w:hAnsi="Calibri"/>
                <w:b/>
                <w:bCs/>
                <w:color w:val="000000"/>
                <w:sz w:val="18"/>
                <w:szCs w:val="18"/>
              </w:rPr>
            </w:pPr>
          </w:p>
        </w:tc>
      </w:tr>
      <w:tr w:rsidR="002A38BD" w:rsidRPr="00AD6E25" w14:paraId="7591EE1A" w14:textId="77777777" w:rsidTr="00B122D7">
        <w:trPr>
          <w:gridAfter w:val="1"/>
          <w:wAfter w:w="13" w:type="dxa"/>
          <w:trHeight w:val="798"/>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3F88E392" w14:textId="6166CB82" w:rsidR="00A62147" w:rsidRPr="00833990" w:rsidRDefault="00A62147" w:rsidP="00A62147">
            <w:pPr>
              <w:spacing w:after="0" w:line="240" w:lineRule="auto"/>
              <w:rPr>
                <w:b/>
                <w:bCs/>
                <w:color w:val="000000"/>
                <w:sz w:val="18"/>
                <w:szCs w:val="18"/>
              </w:rPr>
            </w:pPr>
            <w:r w:rsidRPr="00A62147">
              <w:rPr>
                <w:b/>
                <w:bCs/>
                <w:color w:val="000000"/>
                <w:sz w:val="18"/>
                <w:szCs w:val="18"/>
              </w:rPr>
              <w:t>Task 2.3.2 Workshop to link methods &amp; good practices for N effects (food, water, air, climate etc)</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F3FF8" w14:textId="77777777" w:rsidR="00A62147" w:rsidRPr="00833990"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6F95BE18" w14:textId="77777777" w:rsidR="00A62147" w:rsidRPr="00C40BBA" w:rsidRDefault="00A62147" w:rsidP="00A62147">
            <w:pPr>
              <w:spacing w:after="0" w:line="240" w:lineRule="auto"/>
              <w:rPr>
                <w:rFonts w:ascii="Calibri" w:hAnsi="Calibri"/>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5EAA96FA" w14:textId="77777777" w:rsidR="00A62147" w:rsidRPr="00C40BBA" w:rsidRDefault="00A62147" w:rsidP="00A62147">
            <w:pPr>
              <w:spacing w:after="0" w:line="240" w:lineRule="auto"/>
              <w:rPr>
                <w:rFonts w:ascii="Calibri" w:hAnsi="Calibri"/>
                <w:b/>
                <w:bCs/>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516EEEBA"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27C943B7"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6F379DC4" w14:textId="26E3FE37" w:rsidR="00A62147" w:rsidRPr="00C40BBA" w:rsidRDefault="00E63547" w:rsidP="00A62147">
            <w:pPr>
              <w:spacing w:after="0" w:line="240" w:lineRule="auto"/>
              <w:rPr>
                <w:rFonts w:ascii="Calibri" w:hAnsi="Calibri"/>
                <w:b/>
                <w:bCs/>
                <w:color w:val="000000"/>
                <w:sz w:val="18"/>
                <w:szCs w:val="18"/>
              </w:rPr>
            </w:pPr>
            <w:r w:rsidRPr="00E63547">
              <w:rPr>
                <w:rFonts w:ascii="Calibri" w:hAnsi="Calibri"/>
                <w:b/>
                <w:bCs/>
                <w:color w:val="000000"/>
                <w:szCs w:val="18"/>
              </w:rPr>
              <w:t>W</w:t>
            </w:r>
          </w:p>
        </w:tc>
        <w:tc>
          <w:tcPr>
            <w:tcW w:w="417" w:type="dxa"/>
            <w:tcBorders>
              <w:top w:val="nil"/>
              <w:left w:val="nil"/>
              <w:bottom w:val="single" w:sz="4" w:space="0" w:color="auto"/>
              <w:right w:val="single" w:sz="4" w:space="0" w:color="auto"/>
            </w:tcBorders>
            <w:shd w:val="clear" w:color="auto" w:fill="D99694"/>
            <w:noWrap/>
            <w:vAlign w:val="center"/>
          </w:tcPr>
          <w:p w14:paraId="43AC63AF" w14:textId="51162262" w:rsidR="00A62147" w:rsidRPr="00C40BBA" w:rsidRDefault="00B122D7" w:rsidP="00A62147">
            <w:pPr>
              <w:spacing w:after="0" w:line="240" w:lineRule="auto"/>
              <w:rPr>
                <w:rFonts w:ascii="Calibri" w:hAnsi="Calibri"/>
                <w:b/>
                <w:bCs/>
                <w:color w:val="000000"/>
                <w:sz w:val="18"/>
                <w:szCs w:val="18"/>
              </w:rPr>
            </w:pPr>
            <w:r>
              <w:rPr>
                <w:rFonts w:ascii="Calibri" w:hAnsi="Calibri"/>
                <w:b/>
                <w:bCs/>
                <w:color w:val="000000"/>
                <w:sz w:val="18"/>
                <w:szCs w:val="18"/>
              </w:rPr>
              <w:t>R</w:t>
            </w:r>
          </w:p>
        </w:tc>
        <w:tc>
          <w:tcPr>
            <w:tcW w:w="375" w:type="dxa"/>
            <w:tcBorders>
              <w:top w:val="nil"/>
              <w:left w:val="nil"/>
              <w:bottom w:val="single" w:sz="4" w:space="0" w:color="auto"/>
              <w:right w:val="single" w:sz="4" w:space="0" w:color="auto"/>
            </w:tcBorders>
            <w:shd w:val="clear" w:color="auto" w:fill="auto"/>
            <w:noWrap/>
            <w:vAlign w:val="center"/>
          </w:tcPr>
          <w:p w14:paraId="4779179A"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0B8B3F6C"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780CC8DB"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1D82635C" w14:textId="77777777" w:rsidR="00A62147" w:rsidRPr="00C40BBA" w:rsidRDefault="00A62147" w:rsidP="00A62147">
            <w:pPr>
              <w:spacing w:after="0" w:line="240" w:lineRule="auto"/>
              <w:rPr>
                <w:rFonts w:ascii="Calibri" w:hAnsi="Calibri"/>
                <w:b/>
                <w:bCs/>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2E2A862E"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306A70AC"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7E7147C7"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ADBA091"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6ABBD82" w14:textId="77777777" w:rsidR="00A62147" w:rsidRPr="00C40BBA" w:rsidRDefault="00A62147" w:rsidP="00A62147">
            <w:pPr>
              <w:spacing w:after="0" w:line="240" w:lineRule="auto"/>
              <w:rPr>
                <w:rFonts w:ascii="Calibri" w:hAnsi="Calibri"/>
                <w:b/>
                <w:bCs/>
                <w:color w:val="000000"/>
                <w:sz w:val="18"/>
                <w:szCs w:val="18"/>
              </w:rPr>
            </w:pPr>
          </w:p>
        </w:tc>
      </w:tr>
      <w:tr w:rsidR="002A38BD" w:rsidRPr="00AD6E25" w14:paraId="589D1CB7" w14:textId="77777777" w:rsidTr="00B122D7">
        <w:trPr>
          <w:gridAfter w:val="1"/>
          <w:wAfter w:w="13" w:type="dxa"/>
          <w:trHeight w:val="365"/>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29A4FACD" w14:textId="77777777" w:rsidR="00A62147" w:rsidRDefault="00A62147" w:rsidP="00A62147">
            <w:pPr>
              <w:spacing w:after="0" w:line="240" w:lineRule="auto"/>
              <w:rPr>
                <w:b/>
                <w:bCs/>
                <w:color w:val="000000"/>
                <w:sz w:val="18"/>
                <w:szCs w:val="18"/>
              </w:rPr>
            </w:pPr>
            <w:r w:rsidRPr="00A62147">
              <w:rPr>
                <w:b/>
                <w:bCs/>
                <w:color w:val="000000"/>
                <w:sz w:val="18"/>
                <w:szCs w:val="18"/>
              </w:rPr>
              <w:t>Task 2.3.3 Publishing of revised papers and preparation of synthetic guidance document</w:t>
            </w:r>
          </w:p>
          <w:p w14:paraId="260B9EB1" w14:textId="3F9A3675" w:rsidR="00A62147" w:rsidRPr="00833990" w:rsidRDefault="00A62147" w:rsidP="00A62147">
            <w:pPr>
              <w:spacing w:after="0" w:line="240" w:lineRule="auto"/>
              <w:rPr>
                <w:b/>
                <w:bCs/>
                <w:color w:val="000000"/>
                <w:sz w:val="18"/>
                <w:szCs w:val="18"/>
              </w:rPr>
            </w:pP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3A9BE" w14:textId="77777777" w:rsidR="00A62147" w:rsidRPr="00833990"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2123B5C4" w14:textId="77777777" w:rsidR="00A62147" w:rsidRPr="00C40BBA" w:rsidRDefault="00A62147" w:rsidP="00A62147">
            <w:pPr>
              <w:spacing w:after="0" w:line="240" w:lineRule="auto"/>
              <w:rPr>
                <w:rFonts w:ascii="Calibri" w:hAnsi="Calibri"/>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7200EE93" w14:textId="77777777" w:rsidR="00A62147" w:rsidRPr="00C40BBA" w:rsidRDefault="00A62147" w:rsidP="00A62147">
            <w:pPr>
              <w:spacing w:after="0" w:line="240" w:lineRule="auto"/>
              <w:rPr>
                <w:rFonts w:ascii="Calibri" w:hAnsi="Calibri"/>
                <w:color w:val="000000"/>
                <w:sz w:val="18"/>
                <w:szCs w:val="18"/>
              </w:rPr>
            </w:pPr>
          </w:p>
        </w:tc>
        <w:tc>
          <w:tcPr>
            <w:tcW w:w="410" w:type="dxa"/>
            <w:tcBorders>
              <w:top w:val="nil"/>
              <w:left w:val="nil"/>
              <w:bottom w:val="single" w:sz="4" w:space="0" w:color="auto"/>
              <w:right w:val="single" w:sz="4" w:space="0" w:color="auto"/>
            </w:tcBorders>
            <w:shd w:val="clear" w:color="auto" w:fill="auto"/>
            <w:noWrap/>
            <w:vAlign w:val="center"/>
          </w:tcPr>
          <w:p w14:paraId="28CD7D75" w14:textId="77777777" w:rsidR="00A62147" w:rsidRPr="009C28BD" w:rsidRDefault="00A62147" w:rsidP="00A62147">
            <w:pPr>
              <w:spacing w:after="0" w:line="240" w:lineRule="auto"/>
              <w:rPr>
                <w:rFonts w:ascii="Calibri" w:hAnsi="Calibri"/>
                <w:b/>
                <w:color w:val="FF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6E52B550"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7602A6A9" w14:textId="77777777" w:rsidR="00A62147" w:rsidRPr="00C40BBA" w:rsidRDefault="00A62147" w:rsidP="00A62147">
            <w:pPr>
              <w:spacing w:after="0" w:line="240" w:lineRule="auto"/>
              <w:rPr>
                <w:rFonts w:ascii="Calibri" w:hAnsi="Calibri"/>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5EC0911C" w14:textId="77777777" w:rsidR="00A62147" w:rsidRPr="00D76F9C" w:rsidRDefault="00A62147" w:rsidP="00A62147">
            <w:pPr>
              <w:spacing w:after="0" w:line="240" w:lineRule="auto"/>
              <w:rPr>
                <w:rFonts w:ascii="Calibri" w:hAnsi="Calibri"/>
                <w:b/>
                <w:color w:val="000000"/>
                <w:sz w:val="18"/>
                <w:szCs w:val="18"/>
                <w:vertAlign w:val="superscript"/>
              </w:rPr>
            </w:pPr>
          </w:p>
        </w:tc>
        <w:tc>
          <w:tcPr>
            <w:tcW w:w="375" w:type="dxa"/>
            <w:tcBorders>
              <w:top w:val="nil"/>
              <w:left w:val="nil"/>
              <w:bottom w:val="single" w:sz="4" w:space="0" w:color="auto"/>
              <w:right w:val="single" w:sz="4" w:space="0" w:color="auto"/>
            </w:tcBorders>
            <w:shd w:val="clear" w:color="auto" w:fill="D99694"/>
            <w:noWrap/>
            <w:vAlign w:val="center"/>
          </w:tcPr>
          <w:p w14:paraId="1C8BD8C8"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3C0842EE"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23FC68DF" w14:textId="5795587C" w:rsidR="00A62147" w:rsidRPr="00B122D7" w:rsidRDefault="00B122D7" w:rsidP="00A62147">
            <w:pPr>
              <w:spacing w:after="0" w:line="240" w:lineRule="auto"/>
              <w:rPr>
                <w:rFonts w:ascii="Calibri" w:hAnsi="Calibri"/>
                <w:b/>
                <w:color w:val="000000"/>
                <w:sz w:val="18"/>
                <w:szCs w:val="18"/>
              </w:rPr>
            </w:pPr>
            <w:r w:rsidRPr="00B122D7">
              <w:rPr>
                <w:rFonts w:ascii="Calibri" w:hAnsi="Calibri"/>
                <w:b/>
                <w:color w:val="000000"/>
                <w:sz w:val="18"/>
                <w:szCs w:val="18"/>
              </w:rPr>
              <w:t>R</w:t>
            </w:r>
          </w:p>
        </w:tc>
        <w:tc>
          <w:tcPr>
            <w:tcW w:w="372" w:type="dxa"/>
            <w:tcBorders>
              <w:top w:val="nil"/>
              <w:left w:val="nil"/>
              <w:bottom w:val="single" w:sz="4" w:space="0" w:color="auto"/>
              <w:right w:val="single" w:sz="4" w:space="0" w:color="auto"/>
            </w:tcBorders>
            <w:shd w:val="clear" w:color="auto" w:fill="auto"/>
            <w:noWrap/>
            <w:vAlign w:val="center"/>
          </w:tcPr>
          <w:p w14:paraId="255006A2" w14:textId="77777777" w:rsidR="00A62147" w:rsidRPr="00D76F9C" w:rsidRDefault="00A62147" w:rsidP="00A62147">
            <w:pPr>
              <w:spacing w:after="0" w:line="240" w:lineRule="auto"/>
              <w:rPr>
                <w:rFonts w:ascii="Calibri" w:hAnsi="Calibri"/>
                <w:b/>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0A1B439B"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52FD411D"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8B7CB07"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1DF4AF0D"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EEC4197" w14:textId="77777777" w:rsidR="00A62147" w:rsidRPr="00C40BBA" w:rsidRDefault="00A62147" w:rsidP="00A62147">
            <w:pPr>
              <w:spacing w:after="0" w:line="240" w:lineRule="auto"/>
              <w:rPr>
                <w:rFonts w:ascii="Calibri" w:hAnsi="Calibri"/>
                <w:color w:val="000000"/>
                <w:sz w:val="18"/>
                <w:szCs w:val="18"/>
              </w:rPr>
            </w:pPr>
          </w:p>
        </w:tc>
      </w:tr>
      <w:tr w:rsidR="002A38BD" w:rsidRPr="00AD6E25" w14:paraId="08445433" w14:textId="77777777" w:rsidTr="00675FC3">
        <w:trPr>
          <w:gridAfter w:val="1"/>
          <w:wAfter w:w="13" w:type="dxa"/>
          <w:trHeight w:val="691"/>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0870BFAA" w14:textId="1A28067D" w:rsidR="00A62147" w:rsidRPr="00833990" w:rsidRDefault="00A62147" w:rsidP="00A62147">
            <w:pPr>
              <w:spacing w:after="0" w:line="240" w:lineRule="auto"/>
              <w:rPr>
                <w:b/>
                <w:bCs/>
                <w:color w:val="000000"/>
                <w:sz w:val="18"/>
                <w:szCs w:val="18"/>
              </w:rPr>
            </w:pPr>
            <w:r w:rsidRPr="00A62147">
              <w:rPr>
                <w:b/>
                <w:bCs/>
                <w:color w:val="000000"/>
                <w:sz w:val="18"/>
                <w:szCs w:val="18"/>
              </w:rPr>
              <w:t>Task 2.3.4 Peer and Stakeholder review of Synthetic N guidance document</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5A2BD" w14:textId="77777777" w:rsidR="00A62147" w:rsidRPr="00833990" w:rsidRDefault="00A62147" w:rsidP="00A62147">
            <w:pPr>
              <w:spacing w:after="0" w:line="240" w:lineRule="auto"/>
              <w:jc w:val="center"/>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03F11F87" w14:textId="77777777" w:rsidR="00A62147" w:rsidRPr="00C40BBA" w:rsidRDefault="00A62147" w:rsidP="00A62147">
            <w:pPr>
              <w:spacing w:after="0" w:line="240" w:lineRule="auto"/>
              <w:rPr>
                <w:rFonts w:ascii="Calibri" w:hAnsi="Calibri"/>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545342FA" w14:textId="77777777" w:rsidR="00A62147" w:rsidRPr="00C40BBA" w:rsidRDefault="00A62147" w:rsidP="00A62147">
            <w:pPr>
              <w:spacing w:after="0" w:line="240" w:lineRule="auto"/>
              <w:rPr>
                <w:rFonts w:ascii="Calibri" w:hAnsi="Calibri"/>
                <w:color w:val="000000"/>
                <w:sz w:val="18"/>
                <w:szCs w:val="18"/>
              </w:rPr>
            </w:pPr>
          </w:p>
        </w:tc>
        <w:tc>
          <w:tcPr>
            <w:tcW w:w="410" w:type="dxa"/>
            <w:tcBorders>
              <w:top w:val="nil"/>
              <w:left w:val="nil"/>
              <w:bottom w:val="single" w:sz="4" w:space="0" w:color="auto"/>
              <w:right w:val="single" w:sz="4" w:space="0" w:color="auto"/>
            </w:tcBorders>
            <w:shd w:val="clear" w:color="auto" w:fill="auto"/>
            <w:noWrap/>
            <w:vAlign w:val="center"/>
          </w:tcPr>
          <w:p w14:paraId="193D4EDC"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6006FFD3"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7911A72" w14:textId="77777777" w:rsidR="00A62147" w:rsidRPr="00C40BBA" w:rsidRDefault="00A62147" w:rsidP="00A62147">
            <w:pPr>
              <w:spacing w:after="0" w:line="240" w:lineRule="auto"/>
              <w:rPr>
                <w:rFonts w:ascii="Calibri" w:hAnsi="Calibri"/>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64B04441" w14:textId="77777777" w:rsidR="00A62147" w:rsidRPr="00C40BBA" w:rsidRDefault="00A62147" w:rsidP="00A62147">
            <w:pPr>
              <w:spacing w:after="0" w:line="240" w:lineRule="auto"/>
              <w:rPr>
                <w:rFonts w:ascii="Calibri" w:hAnsi="Calibri"/>
                <w:color w:val="000000"/>
                <w:sz w:val="18"/>
                <w:szCs w:val="18"/>
              </w:rPr>
            </w:pPr>
          </w:p>
        </w:tc>
        <w:tc>
          <w:tcPr>
            <w:tcW w:w="375" w:type="dxa"/>
            <w:tcBorders>
              <w:top w:val="nil"/>
              <w:left w:val="nil"/>
              <w:bottom w:val="single" w:sz="4" w:space="0" w:color="auto"/>
              <w:right w:val="single" w:sz="4" w:space="0" w:color="auto"/>
            </w:tcBorders>
            <w:shd w:val="clear" w:color="auto" w:fill="auto"/>
            <w:noWrap/>
            <w:vAlign w:val="center"/>
          </w:tcPr>
          <w:p w14:paraId="59375E55"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3C2AD239"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51CFAB66" w14:textId="77777777" w:rsidR="00A62147" w:rsidRPr="009C28BD"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26EF47F7" w14:textId="77777777" w:rsidR="00A62147" w:rsidRPr="00C40BBA" w:rsidRDefault="00A62147" w:rsidP="00A62147">
            <w:pPr>
              <w:spacing w:after="0" w:line="240" w:lineRule="auto"/>
              <w:rPr>
                <w:rFonts w:ascii="Calibri" w:hAnsi="Calibri"/>
                <w:color w:val="000000"/>
                <w:sz w:val="18"/>
                <w:szCs w:val="18"/>
              </w:rPr>
            </w:pPr>
          </w:p>
        </w:tc>
        <w:tc>
          <w:tcPr>
            <w:tcW w:w="376" w:type="dxa"/>
            <w:tcBorders>
              <w:top w:val="nil"/>
              <w:left w:val="nil"/>
              <w:bottom w:val="single" w:sz="4" w:space="0" w:color="auto"/>
              <w:right w:val="single" w:sz="4" w:space="0" w:color="auto"/>
            </w:tcBorders>
            <w:shd w:val="clear" w:color="auto" w:fill="D99694"/>
            <w:noWrap/>
            <w:vAlign w:val="center"/>
          </w:tcPr>
          <w:p w14:paraId="44A89563" w14:textId="6B952ED6" w:rsidR="00A62147" w:rsidRPr="00C40BBA" w:rsidRDefault="00E63547" w:rsidP="00A62147">
            <w:pPr>
              <w:spacing w:after="0" w:line="240" w:lineRule="auto"/>
              <w:rPr>
                <w:rFonts w:ascii="Calibri" w:hAnsi="Calibri"/>
                <w:color w:val="000000"/>
              </w:rPr>
            </w:pPr>
            <w:r w:rsidRPr="00E63547">
              <w:rPr>
                <w:rFonts w:ascii="Calibri" w:hAnsi="Calibri"/>
                <w:b/>
                <w:color w:val="000000"/>
                <w:szCs w:val="18"/>
              </w:rPr>
              <w:t>W</w:t>
            </w:r>
          </w:p>
        </w:tc>
        <w:tc>
          <w:tcPr>
            <w:tcW w:w="468" w:type="dxa"/>
            <w:tcBorders>
              <w:top w:val="nil"/>
              <w:left w:val="nil"/>
              <w:bottom w:val="single" w:sz="4" w:space="0" w:color="auto"/>
              <w:right w:val="single" w:sz="4" w:space="0" w:color="auto"/>
            </w:tcBorders>
            <w:shd w:val="clear" w:color="auto" w:fill="D99694"/>
            <w:noWrap/>
            <w:vAlign w:val="center"/>
          </w:tcPr>
          <w:p w14:paraId="1277DBD2" w14:textId="29F6C3B8" w:rsidR="00A62147" w:rsidRPr="009C28BD"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1B38CD80"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6D30628B"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74414D6D" w14:textId="77777777" w:rsidR="00A62147" w:rsidRPr="00C40BBA" w:rsidRDefault="00A62147" w:rsidP="00A62147">
            <w:pPr>
              <w:spacing w:after="0" w:line="240" w:lineRule="auto"/>
              <w:rPr>
                <w:rFonts w:ascii="Calibri" w:hAnsi="Calibri"/>
                <w:color w:val="000000"/>
                <w:sz w:val="18"/>
                <w:szCs w:val="18"/>
              </w:rPr>
            </w:pPr>
          </w:p>
        </w:tc>
      </w:tr>
      <w:tr w:rsidR="002A38BD" w:rsidRPr="00AD6E25" w14:paraId="50177E91" w14:textId="77777777" w:rsidTr="00675FC3">
        <w:trPr>
          <w:gridAfter w:val="1"/>
          <w:wAfter w:w="13" w:type="dxa"/>
          <w:trHeight w:val="691"/>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3FE6A066" w14:textId="0C8DB70A" w:rsidR="00A62147" w:rsidRPr="00343423" w:rsidRDefault="00A62147" w:rsidP="00A62147">
            <w:pPr>
              <w:spacing w:after="0" w:line="240" w:lineRule="auto"/>
              <w:rPr>
                <w:b/>
                <w:bCs/>
                <w:color w:val="000000"/>
                <w:sz w:val="18"/>
                <w:szCs w:val="18"/>
              </w:rPr>
            </w:pPr>
            <w:r w:rsidRPr="00A62147">
              <w:rPr>
                <w:b/>
                <w:bCs/>
                <w:color w:val="000000"/>
                <w:sz w:val="18"/>
                <w:szCs w:val="18"/>
              </w:rPr>
              <w:t>Task 2.3.5 Publishing of synthesis doc &amp; updating of practice database</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43D81" w14:textId="77777777" w:rsidR="00A62147" w:rsidRPr="00833990" w:rsidRDefault="00A62147" w:rsidP="00A62147">
            <w:pPr>
              <w:spacing w:after="0" w:line="240" w:lineRule="auto"/>
              <w:jc w:val="center"/>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70D8262C" w14:textId="77777777" w:rsidR="00A62147" w:rsidRPr="00C40BBA" w:rsidRDefault="00A62147" w:rsidP="00A62147">
            <w:pPr>
              <w:spacing w:after="0" w:line="240" w:lineRule="auto"/>
              <w:rPr>
                <w:rFonts w:ascii="Calibri" w:hAnsi="Calibri"/>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2F3D5B8C" w14:textId="77777777" w:rsidR="00A62147" w:rsidRPr="00C40BBA" w:rsidRDefault="00A62147" w:rsidP="00A62147">
            <w:pPr>
              <w:spacing w:after="0" w:line="240" w:lineRule="auto"/>
              <w:rPr>
                <w:rFonts w:ascii="Calibri" w:hAnsi="Calibri"/>
                <w:color w:val="000000"/>
                <w:sz w:val="18"/>
                <w:szCs w:val="18"/>
              </w:rPr>
            </w:pPr>
          </w:p>
        </w:tc>
        <w:tc>
          <w:tcPr>
            <w:tcW w:w="410" w:type="dxa"/>
            <w:tcBorders>
              <w:top w:val="nil"/>
              <w:left w:val="nil"/>
              <w:bottom w:val="single" w:sz="4" w:space="0" w:color="auto"/>
              <w:right w:val="single" w:sz="4" w:space="0" w:color="auto"/>
            </w:tcBorders>
            <w:shd w:val="clear" w:color="auto" w:fill="auto"/>
            <w:noWrap/>
            <w:vAlign w:val="center"/>
          </w:tcPr>
          <w:p w14:paraId="5FEDE38C"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443F5BF5"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DB7A7A3" w14:textId="77777777" w:rsidR="00A62147" w:rsidRPr="00C40BBA" w:rsidRDefault="00A62147" w:rsidP="00A62147">
            <w:pPr>
              <w:spacing w:after="0" w:line="240" w:lineRule="auto"/>
              <w:rPr>
                <w:rFonts w:ascii="Calibri" w:hAnsi="Calibri"/>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19A6E5B2" w14:textId="77777777" w:rsidR="00A62147" w:rsidRPr="00C40BBA" w:rsidRDefault="00A62147" w:rsidP="00A62147">
            <w:pPr>
              <w:spacing w:after="0" w:line="240" w:lineRule="auto"/>
              <w:rPr>
                <w:rFonts w:ascii="Calibri" w:hAnsi="Calibri"/>
                <w:color w:val="000000"/>
                <w:sz w:val="18"/>
                <w:szCs w:val="18"/>
              </w:rPr>
            </w:pPr>
          </w:p>
        </w:tc>
        <w:tc>
          <w:tcPr>
            <w:tcW w:w="375" w:type="dxa"/>
            <w:tcBorders>
              <w:top w:val="nil"/>
              <w:left w:val="nil"/>
              <w:bottom w:val="single" w:sz="4" w:space="0" w:color="auto"/>
              <w:right w:val="single" w:sz="4" w:space="0" w:color="auto"/>
            </w:tcBorders>
            <w:shd w:val="clear" w:color="auto" w:fill="auto"/>
            <w:noWrap/>
            <w:vAlign w:val="center"/>
          </w:tcPr>
          <w:p w14:paraId="32C68A19"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05ACAFE9"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CE5346B" w14:textId="77777777" w:rsidR="00A62147" w:rsidRPr="009C28BD"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1018BE3F" w14:textId="77777777" w:rsidR="00A62147" w:rsidRPr="00C40BBA" w:rsidRDefault="00A62147" w:rsidP="00A62147">
            <w:pPr>
              <w:spacing w:after="0" w:line="240" w:lineRule="auto"/>
              <w:rPr>
                <w:rFonts w:ascii="Calibri" w:hAnsi="Calibri"/>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20473468" w14:textId="77777777" w:rsidR="00A62147" w:rsidRPr="00C40BBA" w:rsidRDefault="00A62147" w:rsidP="00A62147">
            <w:pPr>
              <w:spacing w:after="0" w:line="240" w:lineRule="auto"/>
              <w:rPr>
                <w:rFonts w:ascii="Calibri" w:hAnsi="Calibri"/>
                <w:color w:val="000000"/>
              </w:rPr>
            </w:pPr>
          </w:p>
        </w:tc>
        <w:tc>
          <w:tcPr>
            <w:tcW w:w="468" w:type="dxa"/>
            <w:tcBorders>
              <w:top w:val="nil"/>
              <w:left w:val="nil"/>
              <w:bottom w:val="single" w:sz="4" w:space="0" w:color="auto"/>
              <w:right w:val="single" w:sz="4" w:space="0" w:color="auto"/>
            </w:tcBorders>
            <w:shd w:val="clear" w:color="auto" w:fill="D99694"/>
            <w:noWrap/>
            <w:vAlign w:val="center"/>
          </w:tcPr>
          <w:p w14:paraId="66B23220" w14:textId="77777777" w:rsidR="00A62147" w:rsidRPr="009C28BD"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5D39E63E"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1142B297"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46CA0B12" w14:textId="0DBE096D" w:rsidR="00A62147" w:rsidRPr="00675FC3" w:rsidRDefault="00675FC3" w:rsidP="00A62147">
            <w:pPr>
              <w:spacing w:after="0" w:line="240" w:lineRule="auto"/>
              <w:rPr>
                <w:rFonts w:ascii="Calibri" w:hAnsi="Calibri"/>
                <w:b/>
                <w:color w:val="000000"/>
                <w:sz w:val="18"/>
                <w:szCs w:val="18"/>
              </w:rPr>
            </w:pPr>
            <w:r w:rsidRPr="00675FC3">
              <w:rPr>
                <w:rFonts w:ascii="Calibri" w:hAnsi="Calibri"/>
                <w:b/>
                <w:color w:val="000000"/>
                <w:sz w:val="18"/>
                <w:szCs w:val="18"/>
              </w:rPr>
              <w:t>R</w:t>
            </w:r>
          </w:p>
        </w:tc>
      </w:tr>
      <w:tr w:rsidR="002A38BD" w:rsidRPr="00AD6E25" w14:paraId="6D86C752" w14:textId="77777777" w:rsidTr="00675FC3">
        <w:trPr>
          <w:gridAfter w:val="1"/>
          <w:wAfter w:w="13" w:type="dxa"/>
          <w:trHeight w:val="584"/>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405ED6E9" w14:textId="77777777" w:rsidR="00175689" w:rsidRDefault="00175689" w:rsidP="00415B28">
            <w:pPr>
              <w:spacing w:after="0" w:line="240" w:lineRule="auto"/>
              <w:rPr>
                <w:b/>
                <w:bCs/>
                <w:color w:val="000000"/>
                <w:sz w:val="18"/>
                <w:szCs w:val="18"/>
              </w:rPr>
            </w:pPr>
            <w:r>
              <w:rPr>
                <w:b/>
                <w:bCs/>
                <w:color w:val="000000"/>
                <w:sz w:val="18"/>
                <w:szCs w:val="18"/>
              </w:rPr>
              <w:t>Monitoring and Evaluation</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76CD5" w14:textId="77777777" w:rsidR="00175689" w:rsidRPr="00833990" w:rsidRDefault="00175689" w:rsidP="00415B28">
            <w:pPr>
              <w:spacing w:after="0" w:line="240" w:lineRule="auto"/>
              <w:rPr>
                <w:b/>
                <w:bCs/>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center"/>
          </w:tcPr>
          <w:p w14:paraId="47C6E618" w14:textId="77777777" w:rsidR="00175689" w:rsidRPr="00D76F9C" w:rsidRDefault="00175689" w:rsidP="00415B28">
            <w:pPr>
              <w:spacing w:after="0" w:line="240" w:lineRule="auto"/>
              <w:jc w:val="center"/>
              <w:rPr>
                <w:b/>
                <w:bCs/>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center"/>
          </w:tcPr>
          <w:p w14:paraId="347601D5" w14:textId="77777777" w:rsidR="00175689" w:rsidRPr="00D76F9C" w:rsidRDefault="00175689" w:rsidP="00415B28">
            <w:pPr>
              <w:spacing w:after="0" w:line="240" w:lineRule="auto"/>
              <w:rPr>
                <w:b/>
                <w:bCs/>
                <w:color w:val="000000"/>
                <w:sz w:val="18"/>
                <w:szCs w:val="18"/>
              </w:rPr>
            </w:pP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2E311D6D" w14:textId="77777777" w:rsidR="00175689" w:rsidRPr="00D76F9C" w:rsidRDefault="00175689" w:rsidP="00415B28">
            <w:pPr>
              <w:spacing w:after="0" w:line="240" w:lineRule="auto"/>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2D42984B" w14:textId="4E7C5A23" w:rsidR="00175689" w:rsidRPr="00D76F9C" w:rsidRDefault="00675FC3"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6ED949D6" w14:textId="77777777" w:rsidR="00175689" w:rsidRPr="00D76F9C" w:rsidRDefault="00175689" w:rsidP="00415B28">
            <w:pPr>
              <w:spacing w:after="0" w:line="240" w:lineRule="auto"/>
              <w:rPr>
                <w:b/>
                <w:bCs/>
                <w:color w:val="000000"/>
                <w:sz w:val="18"/>
                <w:szCs w:val="18"/>
              </w:rPr>
            </w:pP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20F299B8" w14:textId="77777777" w:rsidR="00175689" w:rsidRPr="00D76F9C" w:rsidRDefault="00175689" w:rsidP="00415B28">
            <w:pPr>
              <w:spacing w:after="0" w:line="240" w:lineRule="auto"/>
              <w:rPr>
                <w:b/>
                <w:bCs/>
                <w:color w:val="000000"/>
                <w:sz w:val="18"/>
                <w:szCs w:val="18"/>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14:paraId="15FFEECE" w14:textId="77777777" w:rsidR="00175689" w:rsidRPr="00D76F9C" w:rsidRDefault="00175689" w:rsidP="00415B28">
            <w:pPr>
              <w:spacing w:after="0" w:line="240" w:lineRule="auto"/>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167908D7" w14:textId="139ACBC1" w:rsidR="00175689" w:rsidRPr="00D76F9C" w:rsidRDefault="00675FC3"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3C54D5D4" w14:textId="77777777" w:rsidR="00175689" w:rsidRPr="00D76F9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1D9C08EC" w14:textId="77777777" w:rsidR="00175689" w:rsidRPr="00D76F9C" w:rsidRDefault="00175689" w:rsidP="00415B28">
            <w:pPr>
              <w:spacing w:after="0" w:line="240" w:lineRule="auto"/>
              <w:rPr>
                <w:b/>
                <w:bCs/>
                <w:color w:val="000000"/>
                <w:sz w:val="18"/>
                <w:szCs w:val="18"/>
              </w:rPr>
            </w:pPr>
          </w:p>
        </w:tc>
        <w:tc>
          <w:tcPr>
            <w:tcW w:w="376" w:type="dxa"/>
            <w:tcBorders>
              <w:top w:val="single" w:sz="4" w:space="0" w:color="auto"/>
              <w:left w:val="nil"/>
              <w:bottom w:val="single" w:sz="4" w:space="0" w:color="auto"/>
              <w:right w:val="single" w:sz="4" w:space="0" w:color="auto"/>
            </w:tcBorders>
            <w:shd w:val="clear" w:color="auto" w:fill="auto"/>
            <w:noWrap/>
            <w:vAlign w:val="center"/>
          </w:tcPr>
          <w:p w14:paraId="060F1696" w14:textId="77777777" w:rsidR="00175689" w:rsidRPr="00D76F9C" w:rsidRDefault="00175689" w:rsidP="00415B28">
            <w:pPr>
              <w:spacing w:after="0" w:line="240" w:lineRule="auto"/>
              <w:jc w:val="center"/>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0BE22B99" w14:textId="34877931" w:rsidR="00175689" w:rsidRPr="00D76F9C" w:rsidRDefault="00675FC3"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7EAF3B69" w14:textId="77777777" w:rsidR="00175689" w:rsidRPr="00D76F9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23871924" w14:textId="77777777" w:rsidR="00175689" w:rsidRPr="00D76F9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D99694"/>
            <w:noWrap/>
            <w:vAlign w:val="center"/>
          </w:tcPr>
          <w:p w14:paraId="10DC466F" w14:textId="4C410A9E" w:rsidR="00175689" w:rsidRPr="00D76F9C" w:rsidRDefault="00675FC3" w:rsidP="00415B28">
            <w:pPr>
              <w:spacing w:after="0" w:line="240" w:lineRule="auto"/>
              <w:rPr>
                <w:b/>
                <w:bCs/>
                <w:color w:val="000000"/>
                <w:sz w:val="18"/>
                <w:szCs w:val="18"/>
              </w:rPr>
            </w:pPr>
            <w:r>
              <w:rPr>
                <w:b/>
                <w:bCs/>
                <w:color w:val="000000"/>
                <w:sz w:val="18"/>
                <w:szCs w:val="18"/>
              </w:rPr>
              <w:t>R</w:t>
            </w:r>
          </w:p>
        </w:tc>
      </w:tr>
    </w:tbl>
    <w:p w14:paraId="66997B10" w14:textId="77777777" w:rsidR="00175689" w:rsidRDefault="00175689" w:rsidP="00175689"/>
    <w:tbl>
      <w:tblPr>
        <w:tblW w:w="11300" w:type="dxa"/>
        <w:jc w:val="center"/>
        <w:tblLayout w:type="fixed"/>
        <w:tblLook w:val="04A0" w:firstRow="1" w:lastRow="0" w:firstColumn="1" w:lastColumn="0" w:noHBand="0" w:noVBand="1"/>
      </w:tblPr>
      <w:tblGrid>
        <w:gridCol w:w="4857"/>
        <w:gridCol w:w="404"/>
        <w:gridCol w:w="406"/>
        <w:gridCol w:w="406"/>
        <w:gridCol w:w="410"/>
        <w:gridCol w:w="468"/>
        <w:gridCol w:w="372"/>
        <w:gridCol w:w="417"/>
        <w:gridCol w:w="375"/>
        <w:gridCol w:w="468"/>
        <w:gridCol w:w="372"/>
        <w:gridCol w:w="372"/>
        <w:gridCol w:w="376"/>
        <w:gridCol w:w="468"/>
        <w:gridCol w:w="372"/>
        <w:gridCol w:w="372"/>
        <w:gridCol w:w="372"/>
        <w:gridCol w:w="13"/>
      </w:tblGrid>
      <w:tr w:rsidR="002A38BD" w:rsidRPr="00AD6E25" w14:paraId="61DB494C" w14:textId="77777777" w:rsidTr="00415B28">
        <w:trPr>
          <w:trHeight w:val="639"/>
          <w:tblHeader/>
          <w:jc w:val="center"/>
        </w:trPr>
        <w:tc>
          <w:tcPr>
            <w:tcW w:w="485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BC3D001" w14:textId="3C1BF9A3" w:rsidR="00175689" w:rsidRPr="00AD6E25" w:rsidRDefault="00A62147" w:rsidP="00415B28">
            <w:pPr>
              <w:spacing w:after="0" w:line="240" w:lineRule="auto"/>
              <w:rPr>
                <w:rFonts w:ascii="Calibri" w:hAnsi="Calibri"/>
                <w:b/>
                <w:bCs/>
                <w:color w:val="FFFFFF"/>
                <w:sz w:val="28"/>
                <w:szCs w:val="28"/>
              </w:rPr>
            </w:pPr>
            <w:r w:rsidRPr="00A62147">
              <w:rPr>
                <w:rFonts w:ascii="Calibri" w:hAnsi="Calibri"/>
                <w:b/>
                <w:bCs/>
                <w:color w:val="FFFFFF"/>
                <w:sz w:val="28"/>
                <w:szCs w:val="28"/>
              </w:rPr>
              <w:t>Activity 2.4 Exploration of future N storylines &amp; scenarios with management/ mitigation options &amp; cost-benefit analysis</w:t>
            </w:r>
          </w:p>
        </w:tc>
        <w:tc>
          <w:tcPr>
            <w:tcW w:w="1626"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020F984C"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1</w:t>
            </w:r>
          </w:p>
        </w:tc>
        <w:tc>
          <w:tcPr>
            <w:tcW w:w="1632"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2B525E99"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2</w:t>
            </w:r>
          </w:p>
        </w:tc>
        <w:tc>
          <w:tcPr>
            <w:tcW w:w="1588"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1203D5E6"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3</w:t>
            </w:r>
          </w:p>
        </w:tc>
        <w:tc>
          <w:tcPr>
            <w:tcW w:w="1597" w:type="dxa"/>
            <w:gridSpan w:val="5"/>
            <w:tcBorders>
              <w:top w:val="single" w:sz="4" w:space="0" w:color="auto"/>
              <w:left w:val="nil"/>
              <w:bottom w:val="single" w:sz="4" w:space="0" w:color="auto"/>
              <w:right w:val="single" w:sz="4" w:space="0" w:color="auto"/>
            </w:tcBorders>
            <w:shd w:val="clear" w:color="000000" w:fill="305496"/>
            <w:noWrap/>
            <w:vAlign w:val="center"/>
            <w:hideMark/>
          </w:tcPr>
          <w:p w14:paraId="38319985"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4</w:t>
            </w:r>
          </w:p>
        </w:tc>
      </w:tr>
      <w:tr w:rsidR="002A38BD" w:rsidRPr="00AD6E25" w14:paraId="244DA119" w14:textId="77777777" w:rsidTr="00415B28">
        <w:trPr>
          <w:gridAfter w:val="1"/>
          <w:wAfter w:w="13" w:type="dxa"/>
          <w:trHeight w:val="365"/>
          <w:tblHeader/>
          <w:jc w:val="center"/>
        </w:trPr>
        <w:tc>
          <w:tcPr>
            <w:tcW w:w="485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3497DB7A" w14:textId="77777777" w:rsidR="00175689" w:rsidRPr="00AD6E25" w:rsidRDefault="00175689" w:rsidP="00415B28">
            <w:pPr>
              <w:spacing w:after="0" w:line="240" w:lineRule="auto"/>
              <w:rPr>
                <w:color w:val="000000"/>
              </w:rPr>
            </w:pPr>
            <w:r w:rsidRPr="00AD6E25">
              <w:rPr>
                <w:color w:val="000000"/>
              </w:rPr>
              <w:t> </w:t>
            </w:r>
          </w:p>
        </w:tc>
        <w:tc>
          <w:tcPr>
            <w:tcW w:w="404" w:type="dxa"/>
            <w:tcBorders>
              <w:top w:val="single" w:sz="4" w:space="0" w:color="auto"/>
              <w:left w:val="nil"/>
              <w:bottom w:val="single" w:sz="4" w:space="0" w:color="auto"/>
              <w:right w:val="single" w:sz="4" w:space="0" w:color="auto"/>
            </w:tcBorders>
            <w:shd w:val="clear" w:color="000000" w:fill="305496"/>
            <w:noWrap/>
            <w:vAlign w:val="center"/>
            <w:hideMark/>
          </w:tcPr>
          <w:p w14:paraId="40CB9C41"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Q1</w:t>
            </w:r>
          </w:p>
        </w:tc>
        <w:tc>
          <w:tcPr>
            <w:tcW w:w="406" w:type="dxa"/>
            <w:tcBorders>
              <w:top w:val="nil"/>
              <w:left w:val="nil"/>
              <w:bottom w:val="single" w:sz="4" w:space="0" w:color="auto"/>
              <w:right w:val="single" w:sz="4" w:space="0" w:color="auto"/>
            </w:tcBorders>
            <w:shd w:val="clear" w:color="000000" w:fill="305496"/>
            <w:noWrap/>
            <w:vAlign w:val="center"/>
            <w:hideMark/>
          </w:tcPr>
          <w:p w14:paraId="5E3647A6"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406" w:type="dxa"/>
            <w:tcBorders>
              <w:top w:val="nil"/>
              <w:left w:val="nil"/>
              <w:bottom w:val="single" w:sz="4" w:space="0" w:color="auto"/>
              <w:right w:val="single" w:sz="4" w:space="0" w:color="auto"/>
            </w:tcBorders>
            <w:shd w:val="clear" w:color="000000" w:fill="305496"/>
            <w:noWrap/>
            <w:vAlign w:val="center"/>
            <w:hideMark/>
          </w:tcPr>
          <w:p w14:paraId="63678392"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410" w:type="dxa"/>
            <w:tcBorders>
              <w:top w:val="nil"/>
              <w:left w:val="nil"/>
              <w:bottom w:val="single" w:sz="4" w:space="0" w:color="auto"/>
              <w:right w:val="single" w:sz="4" w:space="0" w:color="auto"/>
            </w:tcBorders>
            <w:shd w:val="clear" w:color="000000" w:fill="305496"/>
            <w:noWrap/>
            <w:vAlign w:val="center"/>
            <w:hideMark/>
          </w:tcPr>
          <w:p w14:paraId="152F50D5"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533CB838" w14:textId="52CF372B"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5B742910"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417" w:type="dxa"/>
            <w:tcBorders>
              <w:top w:val="nil"/>
              <w:left w:val="nil"/>
              <w:bottom w:val="single" w:sz="4" w:space="0" w:color="auto"/>
              <w:right w:val="single" w:sz="4" w:space="0" w:color="auto"/>
            </w:tcBorders>
            <w:shd w:val="clear" w:color="000000" w:fill="305496"/>
            <w:noWrap/>
            <w:vAlign w:val="center"/>
            <w:hideMark/>
          </w:tcPr>
          <w:p w14:paraId="12583A29"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5" w:type="dxa"/>
            <w:tcBorders>
              <w:top w:val="nil"/>
              <w:left w:val="nil"/>
              <w:bottom w:val="single" w:sz="4" w:space="0" w:color="auto"/>
              <w:right w:val="single" w:sz="4" w:space="0" w:color="auto"/>
            </w:tcBorders>
            <w:shd w:val="clear" w:color="000000" w:fill="305496"/>
            <w:noWrap/>
            <w:vAlign w:val="center"/>
            <w:hideMark/>
          </w:tcPr>
          <w:p w14:paraId="5DBBE739"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0CA2559E" w14:textId="72844C2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4ABB550E"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372" w:type="dxa"/>
            <w:tcBorders>
              <w:top w:val="nil"/>
              <w:left w:val="nil"/>
              <w:bottom w:val="single" w:sz="4" w:space="0" w:color="auto"/>
              <w:right w:val="single" w:sz="4" w:space="0" w:color="auto"/>
            </w:tcBorders>
            <w:shd w:val="clear" w:color="000000" w:fill="305496"/>
            <w:noWrap/>
            <w:vAlign w:val="center"/>
            <w:hideMark/>
          </w:tcPr>
          <w:p w14:paraId="0FBADEF1"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6" w:type="dxa"/>
            <w:tcBorders>
              <w:top w:val="nil"/>
              <w:left w:val="nil"/>
              <w:bottom w:val="single" w:sz="4" w:space="0" w:color="auto"/>
              <w:right w:val="single" w:sz="4" w:space="0" w:color="auto"/>
            </w:tcBorders>
            <w:shd w:val="clear" w:color="000000" w:fill="305496"/>
            <w:noWrap/>
            <w:vAlign w:val="center"/>
            <w:hideMark/>
          </w:tcPr>
          <w:p w14:paraId="0F0789C3"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2F3CB8E2" w14:textId="586A64B6"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478D9509"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372" w:type="dxa"/>
            <w:tcBorders>
              <w:top w:val="nil"/>
              <w:left w:val="nil"/>
              <w:bottom w:val="single" w:sz="4" w:space="0" w:color="auto"/>
              <w:right w:val="single" w:sz="4" w:space="0" w:color="auto"/>
            </w:tcBorders>
            <w:shd w:val="clear" w:color="000000" w:fill="305496"/>
            <w:noWrap/>
            <w:vAlign w:val="center"/>
            <w:hideMark/>
          </w:tcPr>
          <w:p w14:paraId="1D9B596E"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2" w:type="dxa"/>
            <w:tcBorders>
              <w:top w:val="nil"/>
              <w:left w:val="nil"/>
              <w:bottom w:val="single" w:sz="4" w:space="0" w:color="auto"/>
              <w:right w:val="single" w:sz="4" w:space="0" w:color="auto"/>
            </w:tcBorders>
            <w:shd w:val="clear" w:color="000000" w:fill="305496"/>
            <w:noWrap/>
            <w:vAlign w:val="center"/>
            <w:hideMark/>
          </w:tcPr>
          <w:p w14:paraId="6BC29EA9"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r>
      <w:tr w:rsidR="002A38BD" w:rsidRPr="00AD6E25" w14:paraId="5C61994C" w14:textId="77777777" w:rsidTr="00B74692">
        <w:trPr>
          <w:gridAfter w:val="1"/>
          <w:wAfter w:w="13" w:type="dxa"/>
          <w:trHeight w:val="876"/>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5316F8C1" w14:textId="1C8E02F3" w:rsidR="00A62147" w:rsidRPr="00833990" w:rsidRDefault="00A62147" w:rsidP="00A62147">
            <w:pPr>
              <w:spacing w:after="0" w:line="240" w:lineRule="auto"/>
              <w:rPr>
                <w:b/>
                <w:bCs/>
                <w:color w:val="000000"/>
                <w:sz w:val="18"/>
                <w:szCs w:val="18"/>
              </w:rPr>
            </w:pPr>
            <w:r w:rsidRPr="00EB715C">
              <w:rPr>
                <w:b/>
                <w:bCs/>
                <w:color w:val="000000"/>
                <w:sz w:val="18"/>
                <w:szCs w:val="18"/>
              </w:rPr>
              <w:t>Task 2.4.1</w:t>
            </w:r>
            <w:r>
              <w:rPr>
                <w:b/>
                <w:bCs/>
                <w:color w:val="000000"/>
                <w:sz w:val="18"/>
                <w:szCs w:val="18"/>
              </w:rPr>
              <w:t xml:space="preserve"> </w:t>
            </w:r>
            <w:r w:rsidRPr="00EB715C">
              <w:rPr>
                <w:b/>
                <w:bCs/>
                <w:color w:val="000000"/>
                <w:sz w:val="18"/>
                <w:szCs w:val="18"/>
              </w:rPr>
              <w:t>Review of existing N policies for different countries &amp; regions</w:t>
            </w:r>
          </w:p>
        </w:tc>
        <w:tc>
          <w:tcPr>
            <w:tcW w:w="404" w:type="dxa"/>
            <w:tcBorders>
              <w:top w:val="single" w:sz="4" w:space="0" w:color="auto"/>
              <w:left w:val="single" w:sz="4" w:space="0" w:color="auto"/>
              <w:bottom w:val="single" w:sz="4" w:space="0" w:color="auto"/>
              <w:right w:val="single" w:sz="4" w:space="0" w:color="auto"/>
            </w:tcBorders>
            <w:shd w:val="clear" w:color="auto" w:fill="D99694"/>
            <w:noWrap/>
            <w:vAlign w:val="center"/>
          </w:tcPr>
          <w:p w14:paraId="3351F149" w14:textId="77777777" w:rsidR="00A62147" w:rsidRPr="00833990"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D99694"/>
            <w:noWrap/>
            <w:vAlign w:val="center"/>
          </w:tcPr>
          <w:p w14:paraId="69A249F2" w14:textId="1704FD57" w:rsidR="00A62147" w:rsidRPr="00C40BBA" w:rsidRDefault="00E63547" w:rsidP="00A62147">
            <w:pPr>
              <w:spacing w:after="0" w:line="240" w:lineRule="auto"/>
              <w:rPr>
                <w:rFonts w:ascii="Calibri" w:hAnsi="Calibri"/>
                <w:b/>
                <w:bCs/>
                <w:color w:val="000000"/>
                <w:sz w:val="18"/>
                <w:szCs w:val="18"/>
              </w:rPr>
            </w:pPr>
            <w:r>
              <w:rPr>
                <w:rFonts w:ascii="Calibri" w:hAnsi="Calibri"/>
                <w:b/>
                <w:bCs/>
                <w:color w:val="000000"/>
                <w:sz w:val="18"/>
                <w:szCs w:val="18"/>
              </w:rPr>
              <w:t>M</w:t>
            </w:r>
          </w:p>
        </w:tc>
        <w:tc>
          <w:tcPr>
            <w:tcW w:w="406" w:type="dxa"/>
            <w:tcBorders>
              <w:top w:val="nil"/>
              <w:left w:val="nil"/>
              <w:bottom w:val="single" w:sz="4" w:space="0" w:color="auto"/>
              <w:right w:val="single" w:sz="4" w:space="0" w:color="auto"/>
            </w:tcBorders>
            <w:shd w:val="clear" w:color="auto" w:fill="D99694"/>
            <w:noWrap/>
            <w:vAlign w:val="center"/>
          </w:tcPr>
          <w:p w14:paraId="11FBAD3F" w14:textId="77777777" w:rsidR="00A62147" w:rsidRPr="00C40BBA" w:rsidRDefault="00A62147" w:rsidP="00A62147">
            <w:pPr>
              <w:spacing w:after="0" w:line="240" w:lineRule="auto"/>
              <w:rPr>
                <w:rFonts w:ascii="Calibri" w:hAnsi="Calibri"/>
                <w:b/>
                <w:bCs/>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7F3205AD" w14:textId="16751D9D" w:rsidR="00A62147" w:rsidRPr="00C40BBA" w:rsidRDefault="00B74692" w:rsidP="00A62147">
            <w:pPr>
              <w:spacing w:after="0" w:line="240" w:lineRule="auto"/>
              <w:rPr>
                <w:rFonts w:ascii="Calibri" w:hAnsi="Calibri"/>
                <w:b/>
                <w:bCs/>
                <w:color w:val="000000"/>
                <w:sz w:val="18"/>
                <w:szCs w:val="18"/>
              </w:rPr>
            </w:pPr>
            <w:r>
              <w:rPr>
                <w:rFonts w:ascii="Calibri" w:hAnsi="Calibri"/>
                <w:b/>
                <w:bCs/>
                <w:color w:val="000000"/>
                <w:sz w:val="18"/>
                <w:szCs w:val="18"/>
              </w:rPr>
              <w:t>R</w:t>
            </w:r>
          </w:p>
        </w:tc>
        <w:tc>
          <w:tcPr>
            <w:tcW w:w="468" w:type="dxa"/>
            <w:tcBorders>
              <w:top w:val="nil"/>
              <w:left w:val="nil"/>
              <w:bottom w:val="single" w:sz="4" w:space="0" w:color="auto"/>
              <w:right w:val="single" w:sz="4" w:space="0" w:color="auto"/>
            </w:tcBorders>
            <w:shd w:val="clear" w:color="auto" w:fill="D99694"/>
            <w:noWrap/>
            <w:vAlign w:val="center"/>
          </w:tcPr>
          <w:p w14:paraId="3D10BC1A" w14:textId="156471B1" w:rsidR="00A62147" w:rsidRPr="00C40BBA" w:rsidRDefault="00B74692" w:rsidP="00A62147">
            <w:pPr>
              <w:spacing w:after="0" w:line="240" w:lineRule="auto"/>
              <w:rPr>
                <w:rFonts w:ascii="Calibri" w:hAnsi="Calibri"/>
                <w:b/>
                <w:bCs/>
                <w:color w:val="000000"/>
                <w:sz w:val="18"/>
                <w:szCs w:val="18"/>
              </w:rPr>
            </w:pPr>
            <w:r>
              <w:rPr>
                <w:rFonts w:ascii="Calibri" w:hAnsi="Calibri"/>
                <w:b/>
                <w:bCs/>
                <w:color w:val="000000"/>
                <w:sz w:val="18"/>
                <w:szCs w:val="18"/>
              </w:rPr>
              <w:t>M</w:t>
            </w:r>
          </w:p>
        </w:tc>
        <w:tc>
          <w:tcPr>
            <w:tcW w:w="372" w:type="dxa"/>
            <w:tcBorders>
              <w:top w:val="nil"/>
              <w:left w:val="nil"/>
              <w:bottom w:val="single" w:sz="4" w:space="0" w:color="auto"/>
              <w:right w:val="single" w:sz="4" w:space="0" w:color="auto"/>
            </w:tcBorders>
            <w:shd w:val="clear" w:color="auto" w:fill="auto"/>
            <w:noWrap/>
            <w:vAlign w:val="center"/>
          </w:tcPr>
          <w:p w14:paraId="460D0DD5" w14:textId="77777777" w:rsidR="00A62147" w:rsidRPr="00C40BBA" w:rsidRDefault="00A62147" w:rsidP="00A62147">
            <w:pPr>
              <w:spacing w:after="0" w:line="240" w:lineRule="auto"/>
              <w:rPr>
                <w:rFonts w:ascii="Calibri" w:hAnsi="Calibri"/>
                <w:b/>
                <w:bCs/>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7DD87CCA" w14:textId="77777777" w:rsidR="00A62147" w:rsidRPr="00C40BBA" w:rsidRDefault="00A62147" w:rsidP="00A62147">
            <w:pPr>
              <w:spacing w:after="0" w:line="240" w:lineRule="auto"/>
              <w:jc w:val="center"/>
              <w:rPr>
                <w:rFonts w:ascii="Calibri" w:hAnsi="Calibri"/>
                <w:b/>
                <w:bCs/>
                <w:color w:val="000000"/>
                <w:sz w:val="18"/>
                <w:szCs w:val="18"/>
              </w:rPr>
            </w:pPr>
          </w:p>
        </w:tc>
        <w:tc>
          <w:tcPr>
            <w:tcW w:w="375" w:type="dxa"/>
            <w:tcBorders>
              <w:top w:val="nil"/>
              <w:left w:val="nil"/>
              <w:bottom w:val="single" w:sz="4" w:space="0" w:color="auto"/>
              <w:right w:val="single" w:sz="4" w:space="0" w:color="auto"/>
            </w:tcBorders>
            <w:shd w:val="clear" w:color="auto" w:fill="auto"/>
            <w:noWrap/>
            <w:vAlign w:val="center"/>
          </w:tcPr>
          <w:p w14:paraId="75385E78"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0E8D2300"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7845EC9"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C35302C" w14:textId="77777777" w:rsidR="00A62147" w:rsidRPr="00C40BBA" w:rsidRDefault="00A62147" w:rsidP="00A62147">
            <w:pPr>
              <w:spacing w:after="0" w:line="240" w:lineRule="auto"/>
              <w:rPr>
                <w:rFonts w:ascii="Calibri" w:hAnsi="Calibri"/>
                <w:b/>
                <w:bCs/>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6F85B1B8"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76FFC059"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C8314BC"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BBF5A9E"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70455EF" w14:textId="77777777" w:rsidR="00A62147" w:rsidRPr="00C40BBA" w:rsidRDefault="00A62147" w:rsidP="00A62147">
            <w:pPr>
              <w:spacing w:after="0" w:line="240" w:lineRule="auto"/>
              <w:rPr>
                <w:rFonts w:ascii="Calibri" w:hAnsi="Calibri"/>
                <w:b/>
                <w:bCs/>
                <w:color w:val="000000"/>
                <w:sz w:val="18"/>
                <w:szCs w:val="18"/>
              </w:rPr>
            </w:pPr>
          </w:p>
        </w:tc>
      </w:tr>
      <w:tr w:rsidR="002A38BD" w:rsidRPr="00AD6E25" w14:paraId="231A1E94" w14:textId="77777777" w:rsidTr="00B74692">
        <w:trPr>
          <w:gridAfter w:val="1"/>
          <w:wAfter w:w="13" w:type="dxa"/>
          <w:trHeight w:val="798"/>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4690CAD3" w14:textId="0F13ED30" w:rsidR="00A62147" w:rsidRPr="00833990" w:rsidRDefault="00A62147" w:rsidP="00A62147">
            <w:pPr>
              <w:spacing w:after="0" w:line="240" w:lineRule="auto"/>
              <w:rPr>
                <w:b/>
                <w:bCs/>
                <w:color w:val="000000"/>
                <w:sz w:val="18"/>
                <w:szCs w:val="18"/>
              </w:rPr>
            </w:pPr>
            <w:r w:rsidRPr="00EB715C">
              <w:rPr>
                <w:b/>
                <w:bCs/>
                <w:color w:val="000000"/>
                <w:sz w:val="18"/>
                <w:szCs w:val="18"/>
              </w:rPr>
              <w:t>Task 2.4.2</w:t>
            </w:r>
            <w:r>
              <w:rPr>
                <w:b/>
                <w:bCs/>
                <w:color w:val="000000"/>
                <w:sz w:val="18"/>
                <w:szCs w:val="18"/>
              </w:rPr>
              <w:t xml:space="preserve"> </w:t>
            </w:r>
            <w:r w:rsidRPr="00EB715C">
              <w:rPr>
                <w:b/>
                <w:bCs/>
                <w:color w:val="000000"/>
                <w:sz w:val="18"/>
                <w:szCs w:val="18"/>
              </w:rPr>
              <w:t>Review of existing storylines and scenarios relevant for N</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1D7A5" w14:textId="77777777" w:rsidR="00A62147" w:rsidRPr="00833990"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D99694"/>
            <w:noWrap/>
            <w:vAlign w:val="center"/>
          </w:tcPr>
          <w:p w14:paraId="167AAA5D" w14:textId="496A5CF4" w:rsidR="00A62147" w:rsidRPr="00C40BBA" w:rsidRDefault="00B74692" w:rsidP="00A62147">
            <w:pPr>
              <w:spacing w:after="0" w:line="240" w:lineRule="auto"/>
              <w:rPr>
                <w:rFonts w:ascii="Calibri" w:hAnsi="Calibri"/>
                <w:b/>
                <w:bCs/>
                <w:color w:val="000000"/>
                <w:sz w:val="18"/>
                <w:szCs w:val="18"/>
              </w:rPr>
            </w:pPr>
            <w:r>
              <w:rPr>
                <w:rFonts w:ascii="Calibri" w:hAnsi="Calibri"/>
                <w:b/>
                <w:bCs/>
                <w:color w:val="000000"/>
                <w:sz w:val="18"/>
                <w:szCs w:val="18"/>
              </w:rPr>
              <w:t>M</w:t>
            </w:r>
          </w:p>
        </w:tc>
        <w:tc>
          <w:tcPr>
            <w:tcW w:w="406" w:type="dxa"/>
            <w:tcBorders>
              <w:top w:val="nil"/>
              <w:left w:val="nil"/>
              <w:bottom w:val="single" w:sz="4" w:space="0" w:color="auto"/>
              <w:right w:val="single" w:sz="4" w:space="0" w:color="auto"/>
            </w:tcBorders>
            <w:shd w:val="clear" w:color="auto" w:fill="D99694"/>
            <w:noWrap/>
            <w:vAlign w:val="center"/>
          </w:tcPr>
          <w:p w14:paraId="7AE667F4" w14:textId="77777777" w:rsidR="00A62147" w:rsidRPr="00C40BBA" w:rsidRDefault="00A62147" w:rsidP="00A62147">
            <w:pPr>
              <w:spacing w:after="0" w:line="240" w:lineRule="auto"/>
              <w:rPr>
                <w:rFonts w:ascii="Calibri" w:hAnsi="Calibri"/>
                <w:b/>
                <w:bCs/>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742F085A" w14:textId="5A16CF66" w:rsidR="00A62147" w:rsidRPr="00C40BBA" w:rsidRDefault="00B74692" w:rsidP="00A62147">
            <w:pPr>
              <w:spacing w:after="0" w:line="240" w:lineRule="auto"/>
              <w:rPr>
                <w:rFonts w:ascii="Calibri" w:hAnsi="Calibri"/>
                <w:b/>
                <w:bCs/>
                <w:color w:val="000000"/>
                <w:sz w:val="18"/>
                <w:szCs w:val="18"/>
              </w:rPr>
            </w:pPr>
            <w:r>
              <w:rPr>
                <w:rFonts w:ascii="Calibri" w:hAnsi="Calibri"/>
                <w:b/>
                <w:bCs/>
                <w:color w:val="000000"/>
                <w:sz w:val="18"/>
                <w:szCs w:val="18"/>
              </w:rPr>
              <w:t>R</w:t>
            </w:r>
          </w:p>
        </w:tc>
        <w:tc>
          <w:tcPr>
            <w:tcW w:w="468" w:type="dxa"/>
            <w:tcBorders>
              <w:top w:val="nil"/>
              <w:left w:val="nil"/>
              <w:bottom w:val="single" w:sz="4" w:space="0" w:color="auto"/>
              <w:right w:val="single" w:sz="4" w:space="0" w:color="auto"/>
            </w:tcBorders>
            <w:shd w:val="clear" w:color="auto" w:fill="D99694"/>
            <w:noWrap/>
            <w:vAlign w:val="center"/>
          </w:tcPr>
          <w:p w14:paraId="4B6069B1" w14:textId="2531E3BC" w:rsidR="00A62147" w:rsidRPr="00C40BBA" w:rsidRDefault="00B74692" w:rsidP="00A62147">
            <w:pPr>
              <w:spacing w:after="0" w:line="240" w:lineRule="auto"/>
              <w:rPr>
                <w:rFonts w:ascii="Calibri" w:hAnsi="Calibri"/>
                <w:b/>
                <w:bCs/>
                <w:color w:val="000000"/>
                <w:sz w:val="18"/>
                <w:szCs w:val="18"/>
              </w:rPr>
            </w:pPr>
            <w:r>
              <w:rPr>
                <w:rFonts w:ascii="Calibri" w:hAnsi="Calibri"/>
                <w:b/>
                <w:bCs/>
                <w:color w:val="000000"/>
                <w:sz w:val="18"/>
                <w:szCs w:val="18"/>
              </w:rPr>
              <w:t>M</w:t>
            </w:r>
          </w:p>
        </w:tc>
        <w:tc>
          <w:tcPr>
            <w:tcW w:w="372" w:type="dxa"/>
            <w:tcBorders>
              <w:top w:val="nil"/>
              <w:left w:val="nil"/>
              <w:bottom w:val="single" w:sz="4" w:space="0" w:color="auto"/>
              <w:right w:val="single" w:sz="4" w:space="0" w:color="auto"/>
            </w:tcBorders>
            <w:shd w:val="clear" w:color="auto" w:fill="D99694"/>
            <w:noWrap/>
            <w:vAlign w:val="center"/>
          </w:tcPr>
          <w:p w14:paraId="4CC39506" w14:textId="46CDD181" w:rsidR="00A62147" w:rsidRPr="00C40BBA" w:rsidRDefault="00A62147" w:rsidP="00A62147">
            <w:pPr>
              <w:spacing w:after="0" w:line="240" w:lineRule="auto"/>
              <w:rPr>
                <w:rFonts w:ascii="Calibri" w:hAnsi="Calibri"/>
                <w:b/>
                <w:bCs/>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0638EC56" w14:textId="77777777" w:rsidR="00A62147" w:rsidRPr="00C40BBA" w:rsidRDefault="00A62147" w:rsidP="00A62147">
            <w:pPr>
              <w:spacing w:after="0" w:line="240" w:lineRule="auto"/>
              <w:rPr>
                <w:rFonts w:ascii="Calibri" w:hAnsi="Calibri"/>
                <w:b/>
                <w:bCs/>
                <w:color w:val="000000"/>
                <w:sz w:val="18"/>
                <w:szCs w:val="18"/>
              </w:rPr>
            </w:pPr>
          </w:p>
        </w:tc>
        <w:tc>
          <w:tcPr>
            <w:tcW w:w="375" w:type="dxa"/>
            <w:tcBorders>
              <w:top w:val="nil"/>
              <w:left w:val="nil"/>
              <w:bottom w:val="single" w:sz="4" w:space="0" w:color="auto"/>
              <w:right w:val="single" w:sz="4" w:space="0" w:color="auto"/>
            </w:tcBorders>
            <w:shd w:val="clear" w:color="auto" w:fill="auto"/>
            <w:noWrap/>
            <w:vAlign w:val="center"/>
          </w:tcPr>
          <w:p w14:paraId="50CF5AF6"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3DE1604A"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A37D752"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1B4C0F80" w14:textId="77777777" w:rsidR="00A62147" w:rsidRPr="00C40BBA" w:rsidRDefault="00A62147" w:rsidP="00A62147">
            <w:pPr>
              <w:spacing w:after="0" w:line="240" w:lineRule="auto"/>
              <w:rPr>
                <w:rFonts w:ascii="Calibri" w:hAnsi="Calibri"/>
                <w:b/>
                <w:bCs/>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4FFB6981"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7B0B690E"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7FCA2D33"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A350C1F"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01EA7DA" w14:textId="77777777" w:rsidR="00A62147" w:rsidRPr="00C40BBA" w:rsidRDefault="00A62147" w:rsidP="00A62147">
            <w:pPr>
              <w:spacing w:after="0" w:line="240" w:lineRule="auto"/>
              <w:rPr>
                <w:rFonts w:ascii="Calibri" w:hAnsi="Calibri"/>
                <w:b/>
                <w:bCs/>
                <w:color w:val="000000"/>
                <w:sz w:val="18"/>
                <w:szCs w:val="18"/>
              </w:rPr>
            </w:pPr>
          </w:p>
        </w:tc>
      </w:tr>
      <w:tr w:rsidR="002A38BD" w:rsidRPr="00AD6E25" w14:paraId="409DCC1E" w14:textId="77777777" w:rsidTr="00B74692">
        <w:trPr>
          <w:gridAfter w:val="1"/>
          <w:wAfter w:w="13" w:type="dxa"/>
          <w:trHeight w:val="365"/>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7E2D3487" w14:textId="0A7EF3CD" w:rsidR="00A62147" w:rsidRPr="00833990" w:rsidRDefault="00A62147" w:rsidP="00A62147">
            <w:pPr>
              <w:spacing w:after="0" w:line="240" w:lineRule="auto"/>
              <w:rPr>
                <w:b/>
                <w:bCs/>
                <w:color w:val="000000"/>
                <w:sz w:val="18"/>
                <w:szCs w:val="18"/>
              </w:rPr>
            </w:pPr>
            <w:r w:rsidRPr="00EB715C">
              <w:rPr>
                <w:b/>
                <w:bCs/>
                <w:color w:val="000000"/>
                <w:sz w:val="18"/>
                <w:szCs w:val="18"/>
              </w:rPr>
              <w:t>Task 2.4.3</w:t>
            </w:r>
            <w:r>
              <w:rPr>
                <w:b/>
                <w:bCs/>
                <w:color w:val="000000"/>
                <w:sz w:val="18"/>
                <w:szCs w:val="18"/>
              </w:rPr>
              <w:t xml:space="preserve"> </w:t>
            </w:r>
            <w:r w:rsidRPr="00EB715C">
              <w:rPr>
                <w:b/>
                <w:bCs/>
                <w:color w:val="000000"/>
                <w:sz w:val="18"/>
                <w:szCs w:val="18"/>
              </w:rPr>
              <w:t>Workshop on N storylines &amp; scenarios for shared use across  the project</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52012" w14:textId="77777777" w:rsidR="00A62147" w:rsidRPr="00833990"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21EC244A" w14:textId="77777777" w:rsidR="00A62147" w:rsidRPr="00C40BBA" w:rsidRDefault="00A62147" w:rsidP="00A62147">
            <w:pPr>
              <w:spacing w:after="0" w:line="240" w:lineRule="auto"/>
              <w:rPr>
                <w:rFonts w:ascii="Calibri" w:hAnsi="Calibri"/>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7B38E4E0" w14:textId="77777777" w:rsidR="00A62147" w:rsidRPr="00C40BBA" w:rsidRDefault="00A62147" w:rsidP="00A62147">
            <w:pPr>
              <w:spacing w:after="0" w:line="240" w:lineRule="auto"/>
              <w:rPr>
                <w:rFonts w:ascii="Calibri" w:hAnsi="Calibri"/>
                <w:color w:val="000000"/>
                <w:sz w:val="18"/>
                <w:szCs w:val="18"/>
              </w:rPr>
            </w:pPr>
          </w:p>
        </w:tc>
        <w:tc>
          <w:tcPr>
            <w:tcW w:w="410" w:type="dxa"/>
            <w:tcBorders>
              <w:top w:val="nil"/>
              <w:left w:val="nil"/>
              <w:bottom w:val="single" w:sz="4" w:space="0" w:color="auto"/>
              <w:right w:val="single" w:sz="4" w:space="0" w:color="auto"/>
            </w:tcBorders>
            <w:shd w:val="clear" w:color="auto" w:fill="auto"/>
            <w:noWrap/>
            <w:vAlign w:val="center"/>
          </w:tcPr>
          <w:p w14:paraId="50B155D7" w14:textId="77777777" w:rsidR="00A62147" w:rsidRPr="009C28BD" w:rsidRDefault="00A62147" w:rsidP="00A62147">
            <w:pPr>
              <w:spacing w:after="0" w:line="240" w:lineRule="auto"/>
              <w:rPr>
                <w:rFonts w:ascii="Calibri" w:hAnsi="Calibri"/>
                <w:b/>
                <w:color w:val="FF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3E370BAC"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60C794E8" w14:textId="77777777" w:rsidR="00A62147" w:rsidRPr="00C40BBA" w:rsidRDefault="00A62147" w:rsidP="00A62147">
            <w:pPr>
              <w:spacing w:after="0" w:line="240" w:lineRule="auto"/>
              <w:rPr>
                <w:rFonts w:ascii="Calibri" w:hAnsi="Calibri"/>
                <w:color w:val="000000"/>
                <w:sz w:val="18"/>
                <w:szCs w:val="18"/>
              </w:rPr>
            </w:pPr>
          </w:p>
        </w:tc>
        <w:tc>
          <w:tcPr>
            <w:tcW w:w="417" w:type="dxa"/>
            <w:tcBorders>
              <w:top w:val="nil"/>
              <w:left w:val="nil"/>
              <w:bottom w:val="single" w:sz="4" w:space="0" w:color="auto"/>
              <w:right w:val="single" w:sz="4" w:space="0" w:color="auto"/>
            </w:tcBorders>
            <w:shd w:val="clear" w:color="auto" w:fill="D99694"/>
            <w:noWrap/>
            <w:vAlign w:val="center"/>
          </w:tcPr>
          <w:p w14:paraId="63A876CC" w14:textId="33BA3BC4" w:rsidR="00A62147" w:rsidRPr="00B74692" w:rsidRDefault="00B74692" w:rsidP="00A62147">
            <w:pPr>
              <w:spacing w:after="0" w:line="240" w:lineRule="auto"/>
              <w:rPr>
                <w:rFonts w:ascii="Calibri" w:hAnsi="Calibri"/>
                <w:color w:val="000000"/>
                <w:sz w:val="18"/>
                <w:szCs w:val="18"/>
                <w:vertAlign w:val="superscript"/>
              </w:rPr>
            </w:pPr>
            <w:r w:rsidRPr="00E63547">
              <w:rPr>
                <w:rFonts w:ascii="Calibri" w:hAnsi="Calibri"/>
                <w:b/>
                <w:color w:val="000000"/>
                <w:szCs w:val="18"/>
              </w:rPr>
              <w:t>W</w:t>
            </w:r>
          </w:p>
        </w:tc>
        <w:tc>
          <w:tcPr>
            <w:tcW w:w="375" w:type="dxa"/>
            <w:tcBorders>
              <w:top w:val="nil"/>
              <w:left w:val="nil"/>
              <w:bottom w:val="single" w:sz="4" w:space="0" w:color="auto"/>
              <w:right w:val="single" w:sz="4" w:space="0" w:color="auto"/>
            </w:tcBorders>
            <w:shd w:val="clear" w:color="auto" w:fill="D99694"/>
            <w:noWrap/>
            <w:vAlign w:val="center"/>
          </w:tcPr>
          <w:p w14:paraId="50E26D3D" w14:textId="1D4A2613" w:rsidR="00A62147" w:rsidRPr="00E63547" w:rsidRDefault="00E63547" w:rsidP="00A62147">
            <w:pPr>
              <w:spacing w:after="0" w:line="240" w:lineRule="auto"/>
              <w:rPr>
                <w:rFonts w:ascii="Calibri" w:hAnsi="Calibri"/>
                <w:b/>
                <w:color w:val="000000"/>
                <w:sz w:val="18"/>
                <w:szCs w:val="18"/>
              </w:rPr>
            </w:pPr>
            <w:r w:rsidRPr="00E63547">
              <w:rPr>
                <w:rFonts w:ascii="Calibri" w:hAnsi="Calibri"/>
                <w:b/>
                <w:color w:val="000000"/>
                <w:sz w:val="18"/>
                <w:szCs w:val="18"/>
              </w:rPr>
              <w:t>R</w:t>
            </w:r>
          </w:p>
        </w:tc>
        <w:tc>
          <w:tcPr>
            <w:tcW w:w="468" w:type="dxa"/>
            <w:tcBorders>
              <w:top w:val="nil"/>
              <w:left w:val="nil"/>
              <w:bottom w:val="single" w:sz="4" w:space="0" w:color="auto"/>
              <w:right w:val="single" w:sz="4" w:space="0" w:color="auto"/>
            </w:tcBorders>
            <w:shd w:val="clear" w:color="auto" w:fill="auto"/>
            <w:noWrap/>
            <w:vAlign w:val="center"/>
          </w:tcPr>
          <w:p w14:paraId="1985A40A"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6F2D62C"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1D0F14DA" w14:textId="77777777" w:rsidR="00A62147" w:rsidRPr="00D76F9C" w:rsidRDefault="00A62147" w:rsidP="00A62147">
            <w:pPr>
              <w:spacing w:after="0" w:line="240" w:lineRule="auto"/>
              <w:rPr>
                <w:rFonts w:ascii="Calibri" w:hAnsi="Calibri"/>
                <w:b/>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669FB1E1"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1777F7E8"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706E39B9"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FA9621F"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026191A" w14:textId="77777777" w:rsidR="00A62147" w:rsidRPr="00C40BBA" w:rsidRDefault="00A62147" w:rsidP="00A62147">
            <w:pPr>
              <w:spacing w:after="0" w:line="240" w:lineRule="auto"/>
              <w:rPr>
                <w:rFonts w:ascii="Calibri" w:hAnsi="Calibri"/>
                <w:color w:val="000000"/>
                <w:sz w:val="18"/>
                <w:szCs w:val="18"/>
              </w:rPr>
            </w:pPr>
          </w:p>
        </w:tc>
      </w:tr>
      <w:tr w:rsidR="002A38BD" w:rsidRPr="00AD6E25" w14:paraId="043C6B24" w14:textId="77777777" w:rsidTr="00E63547">
        <w:trPr>
          <w:gridAfter w:val="1"/>
          <w:wAfter w:w="13" w:type="dxa"/>
          <w:trHeight w:val="691"/>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63C842EC" w14:textId="435BBD24" w:rsidR="00A62147" w:rsidRPr="00833990" w:rsidRDefault="00A62147" w:rsidP="00A62147">
            <w:pPr>
              <w:spacing w:after="0" w:line="240" w:lineRule="auto"/>
              <w:rPr>
                <w:b/>
                <w:bCs/>
                <w:color w:val="000000"/>
                <w:sz w:val="18"/>
                <w:szCs w:val="18"/>
              </w:rPr>
            </w:pPr>
            <w:r w:rsidRPr="00EB715C">
              <w:rPr>
                <w:b/>
                <w:bCs/>
                <w:color w:val="000000"/>
                <w:sz w:val="18"/>
                <w:szCs w:val="18"/>
              </w:rPr>
              <w:t>Task 2.4.4</w:t>
            </w:r>
            <w:r>
              <w:rPr>
                <w:b/>
                <w:bCs/>
                <w:color w:val="000000"/>
                <w:sz w:val="18"/>
                <w:szCs w:val="18"/>
              </w:rPr>
              <w:t xml:space="preserve"> </w:t>
            </w:r>
            <w:r w:rsidRPr="00EB715C">
              <w:rPr>
                <w:b/>
                <w:bCs/>
                <w:color w:val="000000"/>
                <w:sz w:val="18"/>
                <w:szCs w:val="18"/>
              </w:rPr>
              <w:t>Synthesis of future programmes and policy options supported by cost benefit analysis</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C55B1" w14:textId="77777777" w:rsidR="00A62147" w:rsidRPr="00833990" w:rsidRDefault="00A62147" w:rsidP="00A62147">
            <w:pPr>
              <w:spacing w:after="0" w:line="240" w:lineRule="auto"/>
              <w:jc w:val="center"/>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183027BE" w14:textId="77777777" w:rsidR="00A62147" w:rsidRPr="00C40BBA" w:rsidRDefault="00A62147" w:rsidP="00A62147">
            <w:pPr>
              <w:spacing w:after="0" w:line="240" w:lineRule="auto"/>
              <w:rPr>
                <w:rFonts w:ascii="Calibri" w:hAnsi="Calibri"/>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0A715F98" w14:textId="77777777" w:rsidR="00A62147" w:rsidRPr="00C40BBA" w:rsidRDefault="00A62147" w:rsidP="00A62147">
            <w:pPr>
              <w:spacing w:after="0" w:line="240" w:lineRule="auto"/>
              <w:rPr>
                <w:rFonts w:ascii="Calibri" w:hAnsi="Calibri"/>
                <w:color w:val="000000"/>
                <w:sz w:val="18"/>
                <w:szCs w:val="18"/>
              </w:rPr>
            </w:pPr>
          </w:p>
        </w:tc>
        <w:tc>
          <w:tcPr>
            <w:tcW w:w="410" w:type="dxa"/>
            <w:tcBorders>
              <w:top w:val="nil"/>
              <w:left w:val="nil"/>
              <w:bottom w:val="single" w:sz="4" w:space="0" w:color="auto"/>
              <w:right w:val="single" w:sz="4" w:space="0" w:color="auto"/>
            </w:tcBorders>
            <w:shd w:val="clear" w:color="auto" w:fill="auto"/>
            <w:noWrap/>
            <w:vAlign w:val="center"/>
          </w:tcPr>
          <w:p w14:paraId="3A6D0D35"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04A06C92"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1971C700" w14:textId="77777777" w:rsidR="00A62147" w:rsidRPr="00C40BBA" w:rsidRDefault="00A62147" w:rsidP="00A62147">
            <w:pPr>
              <w:spacing w:after="0" w:line="240" w:lineRule="auto"/>
              <w:rPr>
                <w:rFonts w:ascii="Calibri" w:hAnsi="Calibri"/>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3CEC1A0D" w14:textId="77777777" w:rsidR="00A62147" w:rsidRPr="00C40BBA" w:rsidRDefault="00A62147" w:rsidP="00A62147">
            <w:pPr>
              <w:spacing w:after="0" w:line="240" w:lineRule="auto"/>
              <w:rPr>
                <w:rFonts w:ascii="Calibri" w:hAnsi="Calibri"/>
                <w:color w:val="000000"/>
                <w:sz w:val="18"/>
                <w:szCs w:val="18"/>
              </w:rPr>
            </w:pPr>
          </w:p>
        </w:tc>
        <w:tc>
          <w:tcPr>
            <w:tcW w:w="375" w:type="dxa"/>
            <w:tcBorders>
              <w:top w:val="nil"/>
              <w:left w:val="nil"/>
              <w:bottom w:val="single" w:sz="4" w:space="0" w:color="auto"/>
              <w:right w:val="single" w:sz="4" w:space="0" w:color="auto"/>
            </w:tcBorders>
            <w:shd w:val="clear" w:color="auto" w:fill="D99694"/>
            <w:noWrap/>
            <w:vAlign w:val="center"/>
          </w:tcPr>
          <w:p w14:paraId="48B03066"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2A3DA46E" w14:textId="40A35954" w:rsidR="00A62147" w:rsidRPr="00E63547" w:rsidRDefault="00E63547" w:rsidP="00A62147">
            <w:pPr>
              <w:spacing w:after="0" w:line="240" w:lineRule="auto"/>
              <w:rPr>
                <w:rFonts w:ascii="Calibri" w:hAnsi="Calibri"/>
                <w:b/>
                <w:color w:val="000000"/>
                <w:sz w:val="18"/>
                <w:szCs w:val="18"/>
              </w:rPr>
            </w:pPr>
            <w:r w:rsidRPr="00E63547">
              <w:rPr>
                <w:rFonts w:ascii="Calibri" w:hAnsi="Calibri"/>
                <w:b/>
                <w:color w:val="000000"/>
                <w:sz w:val="18"/>
                <w:szCs w:val="18"/>
              </w:rPr>
              <w:t>M</w:t>
            </w:r>
          </w:p>
        </w:tc>
        <w:tc>
          <w:tcPr>
            <w:tcW w:w="372" w:type="dxa"/>
            <w:tcBorders>
              <w:top w:val="nil"/>
              <w:left w:val="nil"/>
              <w:bottom w:val="single" w:sz="4" w:space="0" w:color="auto"/>
              <w:right w:val="single" w:sz="4" w:space="0" w:color="auto"/>
            </w:tcBorders>
            <w:shd w:val="clear" w:color="auto" w:fill="D99694"/>
            <w:noWrap/>
            <w:vAlign w:val="center"/>
          </w:tcPr>
          <w:p w14:paraId="19D9CE9B" w14:textId="77777777" w:rsidR="00A62147" w:rsidRPr="009C28BD" w:rsidRDefault="00A62147" w:rsidP="00A62147">
            <w:pPr>
              <w:spacing w:after="0" w:line="240" w:lineRule="auto"/>
              <w:rPr>
                <w:rFonts w:ascii="Calibri" w:hAnsi="Calibri"/>
                <w:b/>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53D7BE17" w14:textId="77777777" w:rsidR="00A62147" w:rsidRPr="00C40BBA" w:rsidRDefault="00A62147" w:rsidP="00A62147">
            <w:pPr>
              <w:spacing w:after="0" w:line="240" w:lineRule="auto"/>
              <w:rPr>
                <w:rFonts w:ascii="Calibri" w:hAnsi="Calibri"/>
                <w:color w:val="000000"/>
                <w:sz w:val="18"/>
                <w:szCs w:val="18"/>
              </w:rPr>
            </w:pPr>
          </w:p>
        </w:tc>
        <w:tc>
          <w:tcPr>
            <w:tcW w:w="376" w:type="dxa"/>
            <w:tcBorders>
              <w:top w:val="nil"/>
              <w:left w:val="nil"/>
              <w:bottom w:val="single" w:sz="4" w:space="0" w:color="auto"/>
              <w:right w:val="single" w:sz="4" w:space="0" w:color="auto"/>
            </w:tcBorders>
            <w:shd w:val="clear" w:color="auto" w:fill="D99694"/>
            <w:noWrap/>
            <w:vAlign w:val="center"/>
          </w:tcPr>
          <w:p w14:paraId="16A45186" w14:textId="77777777" w:rsidR="00A62147" w:rsidRPr="00C40BBA" w:rsidRDefault="00A62147" w:rsidP="00A62147">
            <w:pPr>
              <w:spacing w:after="0" w:line="240" w:lineRule="auto"/>
              <w:rPr>
                <w:rFonts w:ascii="Calibri" w:hAnsi="Calibri"/>
                <w:color w:val="000000"/>
              </w:rPr>
            </w:pPr>
          </w:p>
        </w:tc>
        <w:tc>
          <w:tcPr>
            <w:tcW w:w="468" w:type="dxa"/>
            <w:tcBorders>
              <w:top w:val="nil"/>
              <w:left w:val="nil"/>
              <w:bottom w:val="single" w:sz="4" w:space="0" w:color="auto"/>
              <w:right w:val="single" w:sz="4" w:space="0" w:color="auto"/>
            </w:tcBorders>
            <w:shd w:val="clear" w:color="auto" w:fill="D99694"/>
            <w:noWrap/>
            <w:vAlign w:val="center"/>
          </w:tcPr>
          <w:p w14:paraId="38D83B00" w14:textId="4451F3DB" w:rsidR="00A62147" w:rsidRPr="009C28BD" w:rsidRDefault="00E63547" w:rsidP="00A62147">
            <w:pPr>
              <w:spacing w:after="0" w:line="240" w:lineRule="auto"/>
              <w:rPr>
                <w:rFonts w:ascii="Calibri" w:hAnsi="Calibri"/>
                <w:b/>
                <w:color w:val="000000"/>
                <w:sz w:val="18"/>
                <w:szCs w:val="18"/>
              </w:rPr>
            </w:pPr>
            <w:r>
              <w:rPr>
                <w:rFonts w:ascii="Calibri" w:hAnsi="Calibri"/>
                <w:b/>
                <w:color w:val="000000"/>
                <w:sz w:val="18"/>
                <w:szCs w:val="18"/>
              </w:rPr>
              <w:t>R</w:t>
            </w:r>
          </w:p>
        </w:tc>
        <w:tc>
          <w:tcPr>
            <w:tcW w:w="372" w:type="dxa"/>
            <w:tcBorders>
              <w:top w:val="nil"/>
              <w:left w:val="nil"/>
              <w:bottom w:val="single" w:sz="4" w:space="0" w:color="auto"/>
              <w:right w:val="single" w:sz="4" w:space="0" w:color="auto"/>
            </w:tcBorders>
            <w:shd w:val="clear" w:color="auto" w:fill="auto"/>
            <w:noWrap/>
            <w:vAlign w:val="center"/>
          </w:tcPr>
          <w:p w14:paraId="5A5C471D"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212114C1"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D25F533" w14:textId="77777777" w:rsidR="00A62147" w:rsidRPr="00C40BBA" w:rsidRDefault="00A62147" w:rsidP="00A62147">
            <w:pPr>
              <w:spacing w:after="0" w:line="240" w:lineRule="auto"/>
              <w:rPr>
                <w:rFonts w:ascii="Calibri" w:hAnsi="Calibri"/>
                <w:color w:val="000000"/>
                <w:sz w:val="18"/>
                <w:szCs w:val="18"/>
              </w:rPr>
            </w:pPr>
          </w:p>
        </w:tc>
      </w:tr>
      <w:tr w:rsidR="002A38BD" w:rsidRPr="00AD6E25" w14:paraId="5DF4B078" w14:textId="77777777" w:rsidTr="00E63547">
        <w:trPr>
          <w:gridAfter w:val="1"/>
          <w:wAfter w:w="13" w:type="dxa"/>
          <w:trHeight w:val="584"/>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1CE6EDBE" w14:textId="77777777" w:rsidR="00175689" w:rsidRDefault="00175689" w:rsidP="00415B28">
            <w:pPr>
              <w:spacing w:after="0" w:line="240" w:lineRule="auto"/>
              <w:rPr>
                <w:b/>
                <w:bCs/>
                <w:color w:val="000000"/>
                <w:sz w:val="18"/>
                <w:szCs w:val="18"/>
              </w:rPr>
            </w:pPr>
            <w:r>
              <w:rPr>
                <w:b/>
                <w:bCs/>
                <w:color w:val="000000"/>
                <w:sz w:val="18"/>
                <w:szCs w:val="18"/>
              </w:rPr>
              <w:t>Monitoring and Evaluation</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B4533" w14:textId="77777777" w:rsidR="00175689" w:rsidRPr="00833990" w:rsidRDefault="00175689" w:rsidP="00415B28">
            <w:pPr>
              <w:spacing w:after="0" w:line="240" w:lineRule="auto"/>
              <w:rPr>
                <w:b/>
                <w:bCs/>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center"/>
          </w:tcPr>
          <w:p w14:paraId="16DA91B1" w14:textId="77777777" w:rsidR="00175689" w:rsidRPr="00D76F9C" w:rsidRDefault="00175689" w:rsidP="00415B28">
            <w:pPr>
              <w:spacing w:after="0" w:line="240" w:lineRule="auto"/>
              <w:jc w:val="center"/>
              <w:rPr>
                <w:b/>
                <w:bCs/>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center"/>
          </w:tcPr>
          <w:p w14:paraId="5A13F6CF" w14:textId="77777777" w:rsidR="00175689" w:rsidRPr="00D76F9C" w:rsidRDefault="00175689" w:rsidP="00415B28">
            <w:pPr>
              <w:spacing w:after="0" w:line="240" w:lineRule="auto"/>
              <w:rPr>
                <w:b/>
                <w:bCs/>
                <w:color w:val="000000"/>
                <w:sz w:val="18"/>
                <w:szCs w:val="18"/>
              </w:rPr>
            </w:pP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4AF0564A" w14:textId="77777777" w:rsidR="00175689" w:rsidRPr="00D76F9C" w:rsidRDefault="00175689" w:rsidP="00415B28">
            <w:pPr>
              <w:spacing w:after="0" w:line="240" w:lineRule="auto"/>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012B2EBA" w14:textId="55A6CEB8" w:rsidR="00175689" w:rsidRPr="00D76F9C" w:rsidRDefault="00E63547"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70AC40E0" w14:textId="77777777" w:rsidR="00175689" w:rsidRPr="00D76F9C" w:rsidRDefault="00175689" w:rsidP="00415B28">
            <w:pPr>
              <w:spacing w:after="0" w:line="240" w:lineRule="auto"/>
              <w:rPr>
                <w:b/>
                <w:bCs/>
                <w:color w:val="000000"/>
                <w:sz w:val="18"/>
                <w:szCs w:val="18"/>
              </w:rPr>
            </w:pP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1B41D122" w14:textId="77777777" w:rsidR="00175689" w:rsidRPr="00D76F9C" w:rsidRDefault="00175689" w:rsidP="00415B28">
            <w:pPr>
              <w:spacing w:after="0" w:line="240" w:lineRule="auto"/>
              <w:rPr>
                <w:b/>
                <w:bCs/>
                <w:color w:val="000000"/>
                <w:sz w:val="18"/>
                <w:szCs w:val="18"/>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14:paraId="4700B8D4" w14:textId="77777777" w:rsidR="00175689" w:rsidRPr="00D76F9C" w:rsidRDefault="00175689" w:rsidP="00415B28">
            <w:pPr>
              <w:spacing w:after="0" w:line="240" w:lineRule="auto"/>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01BF6EB1" w14:textId="7B555590" w:rsidR="00175689" w:rsidRPr="00D76F9C" w:rsidRDefault="00E63547"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28062F54" w14:textId="77777777" w:rsidR="00175689" w:rsidRPr="00D76F9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105277BF" w14:textId="77777777" w:rsidR="00175689" w:rsidRPr="00D76F9C" w:rsidRDefault="00175689" w:rsidP="00415B28">
            <w:pPr>
              <w:spacing w:after="0" w:line="240" w:lineRule="auto"/>
              <w:rPr>
                <w:b/>
                <w:bCs/>
                <w:color w:val="000000"/>
                <w:sz w:val="18"/>
                <w:szCs w:val="18"/>
              </w:rPr>
            </w:pPr>
          </w:p>
        </w:tc>
        <w:tc>
          <w:tcPr>
            <w:tcW w:w="376" w:type="dxa"/>
            <w:tcBorders>
              <w:top w:val="single" w:sz="4" w:space="0" w:color="auto"/>
              <w:left w:val="nil"/>
              <w:bottom w:val="single" w:sz="4" w:space="0" w:color="auto"/>
              <w:right w:val="single" w:sz="4" w:space="0" w:color="auto"/>
            </w:tcBorders>
            <w:shd w:val="clear" w:color="auto" w:fill="auto"/>
            <w:noWrap/>
            <w:vAlign w:val="center"/>
          </w:tcPr>
          <w:p w14:paraId="46C896C7" w14:textId="77777777" w:rsidR="00175689" w:rsidRPr="00D76F9C" w:rsidRDefault="00175689" w:rsidP="00415B28">
            <w:pPr>
              <w:spacing w:after="0" w:line="240" w:lineRule="auto"/>
              <w:jc w:val="center"/>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184D3992" w14:textId="13C064A9" w:rsidR="00175689" w:rsidRPr="00D76F9C" w:rsidRDefault="00E63547"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65A65161" w14:textId="77777777" w:rsidR="00175689" w:rsidRPr="00D76F9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388CF10C" w14:textId="77777777" w:rsidR="00175689" w:rsidRPr="00D76F9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D99694"/>
            <w:noWrap/>
            <w:vAlign w:val="center"/>
          </w:tcPr>
          <w:p w14:paraId="1208280A" w14:textId="56E257DF" w:rsidR="00175689" w:rsidRPr="00D76F9C" w:rsidRDefault="00E63547" w:rsidP="00415B28">
            <w:pPr>
              <w:spacing w:after="0" w:line="240" w:lineRule="auto"/>
              <w:rPr>
                <w:b/>
                <w:bCs/>
                <w:color w:val="000000"/>
                <w:sz w:val="18"/>
                <w:szCs w:val="18"/>
              </w:rPr>
            </w:pPr>
            <w:r>
              <w:rPr>
                <w:b/>
                <w:bCs/>
                <w:color w:val="000000"/>
                <w:sz w:val="18"/>
                <w:szCs w:val="18"/>
              </w:rPr>
              <w:t>R</w:t>
            </w:r>
          </w:p>
        </w:tc>
      </w:tr>
    </w:tbl>
    <w:p w14:paraId="0F22C536" w14:textId="77777777" w:rsidR="00175689" w:rsidRDefault="00175689" w:rsidP="00175689"/>
    <w:tbl>
      <w:tblPr>
        <w:tblW w:w="11300" w:type="dxa"/>
        <w:jc w:val="center"/>
        <w:tblLayout w:type="fixed"/>
        <w:tblLook w:val="04A0" w:firstRow="1" w:lastRow="0" w:firstColumn="1" w:lastColumn="0" w:noHBand="0" w:noVBand="1"/>
      </w:tblPr>
      <w:tblGrid>
        <w:gridCol w:w="4857"/>
        <w:gridCol w:w="404"/>
        <w:gridCol w:w="406"/>
        <w:gridCol w:w="406"/>
        <w:gridCol w:w="410"/>
        <w:gridCol w:w="468"/>
        <w:gridCol w:w="372"/>
        <w:gridCol w:w="417"/>
        <w:gridCol w:w="375"/>
        <w:gridCol w:w="468"/>
        <w:gridCol w:w="372"/>
        <w:gridCol w:w="372"/>
        <w:gridCol w:w="376"/>
        <w:gridCol w:w="468"/>
        <w:gridCol w:w="372"/>
        <w:gridCol w:w="372"/>
        <w:gridCol w:w="372"/>
        <w:gridCol w:w="13"/>
      </w:tblGrid>
      <w:tr w:rsidR="002A38BD" w:rsidRPr="00AD6E25" w14:paraId="700899E4" w14:textId="77777777" w:rsidTr="00415B28">
        <w:trPr>
          <w:trHeight w:val="639"/>
          <w:tblHeader/>
          <w:jc w:val="center"/>
        </w:trPr>
        <w:tc>
          <w:tcPr>
            <w:tcW w:w="485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11E2465B" w14:textId="52DE03C4" w:rsidR="00175689" w:rsidRPr="00AD6E25" w:rsidRDefault="00A62147" w:rsidP="00415B28">
            <w:pPr>
              <w:spacing w:after="0" w:line="240" w:lineRule="auto"/>
              <w:rPr>
                <w:rFonts w:ascii="Calibri" w:hAnsi="Calibri"/>
                <w:b/>
                <w:bCs/>
                <w:color w:val="FFFFFF"/>
                <w:sz w:val="28"/>
                <w:szCs w:val="28"/>
              </w:rPr>
            </w:pPr>
            <w:r w:rsidRPr="00A62147">
              <w:rPr>
                <w:rFonts w:ascii="Calibri" w:hAnsi="Calibri"/>
                <w:b/>
                <w:bCs/>
                <w:color w:val="FFFFFF"/>
                <w:sz w:val="28"/>
                <w:szCs w:val="28"/>
              </w:rPr>
              <w:lastRenderedPageBreak/>
              <w:t>Activity 2.5 Collation &amp; synthesis of knowledge, experience &amp; measures adopted by GEF and others on excess &amp; insufficient Nr</w:t>
            </w:r>
          </w:p>
        </w:tc>
        <w:tc>
          <w:tcPr>
            <w:tcW w:w="1626"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30B1DE29"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1</w:t>
            </w:r>
          </w:p>
        </w:tc>
        <w:tc>
          <w:tcPr>
            <w:tcW w:w="1632"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32A4A137"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2</w:t>
            </w:r>
          </w:p>
        </w:tc>
        <w:tc>
          <w:tcPr>
            <w:tcW w:w="1588"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70C9780B"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3</w:t>
            </w:r>
          </w:p>
        </w:tc>
        <w:tc>
          <w:tcPr>
            <w:tcW w:w="1597" w:type="dxa"/>
            <w:gridSpan w:val="5"/>
            <w:tcBorders>
              <w:top w:val="single" w:sz="4" w:space="0" w:color="auto"/>
              <w:left w:val="nil"/>
              <w:bottom w:val="single" w:sz="4" w:space="0" w:color="auto"/>
              <w:right w:val="single" w:sz="4" w:space="0" w:color="auto"/>
            </w:tcBorders>
            <w:shd w:val="clear" w:color="000000" w:fill="305496"/>
            <w:noWrap/>
            <w:vAlign w:val="center"/>
            <w:hideMark/>
          </w:tcPr>
          <w:p w14:paraId="7C0F3F9E" w14:textId="77777777" w:rsidR="00175689" w:rsidRPr="00AD6E25" w:rsidRDefault="00175689" w:rsidP="00415B28">
            <w:pPr>
              <w:spacing w:after="0" w:line="240" w:lineRule="auto"/>
              <w:jc w:val="center"/>
              <w:rPr>
                <w:rFonts w:ascii="Calibri" w:hAnsi="Calibri"/>
                <w:b/>
                <w:bCs/>
                <w:color w:val="FFFFFF"/>
              </w:rPr>
            </w:pPr>
            <w:r w:rsidRPr="00AD6E25">
              <w:rPr>
                <w:rFonts w:ascii="Calibri" w:hAnsi="Calibri"/>
                <w:b/>
                <w:bCs/>
                <w:color w:val="FFFFFF"/>
              </w:rPr>
              <w:t>Year 4</w:t>
            </w:r>
          </w:p>
        </w:tc>
      </w:tr>
      <w:tr w:rsidR="002A38BD" w:rsidRPr="00AD6E25" w14:paraId="6594E634" w14:textId="77777777" w:rsidTr="00415B28">
        <w:trPr>
          <w:gridAfter w:val="1"/>
          <w:wAfter w:w="13" w:type="dxa"/>
          <w:trHeight w:val="365"/>
          <w:tblHeader/>
          <w:jc w:val="center"/>
        </w:trPr>
        <w:tc>
          <w:tcPr>
            <w:tcW w:w="485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1504A5A9" w14:textId="77777777" w:rsidR="00175689" w:rsidRPr="00AD6E25" w:rsidRDefault="00175689" w:rsidP="00415B28">
            <w:pPr>
              <w:spacing w:after="0" w:line="240" w:lineRule="auto"/>
              <w:rPr>
                <w:color w:val="000000"/>
              </w:rPr>
            </w:pPr>
            <w:r w:rsidRPr="00AD6E25">
              <w:rPr>
                <w:color w:val="000000"/>
              </w:rPr>
              <w:t> </w:t>
            </w:r>
          </w:p>
        </w:tc>
        <w:tc>
          <w:tcPr>
            <w:tcW w:w="404" w:type="dxa"/>
            <w:tcBorders>
              <w:top w:val="single" w:sz="4" w:space="0" w:color="auto"/>
              <w:left w:val="nil"/>
              <w:bottom w:val="single" w:sz="4" w:space="0" w:color="auto"/>
              <w:right w:val="single" w:sz="4" w:space="0" w:color="auto"/>
            </w:tcBorders>
            <w:shd w:val="clear" w:color="000000" w:fill="305496"/>
            <w:noWrap/>
            <w:vAlign w:val="center"/>
            <w:hideMark/>
          </w:tcPr>
          <w:p w14:paraId="6E53F22C"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Q1</w:t>
            </w:r>
          </w:p>
        </w:tc>
        <w:tc>
          <w:tcPr>
            <w:tcW w:w="406" w:type="dxa"/>
            <w:tcBorders>
              <w:top w:val="nil"/>
              <w:left w:val="nil"/>
              <w:bottom w:val="single" w:sz="4" w:space="0" w:color="auto"/>
              <w:right w:val="single" w:sz="4" w:space="0" w:color="auto"/>
            </w:tcBorders>
            <w:shd w:val="clear" w:color="000000" w:fill="305496"/>
            <w:noWrap/>
            <w:vAlign w:val="center"/>
            <w:hideMark/>
          </w:tcPr>
          <w:p w14:paraId="257E8184"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406" w:type="dxa"/>
            <w:tcBorders>
              <w:top w:val="nil"/>
              <w:left w:val="nil"/>
              <w:bottom w:val="single" w:sz="4" w:space="0" w:color="auto"/>
              <w:right w:val="single" w:sz="4" w:space="0" w:color="auto"/>
            </w:tcBorders>
            <w:shd w:val="clear" w:color="000000" w:fill="305496"/>
            <w:noWrap/>
            <w:vAlign w:val="center"/>
            <w:hideMark/>
          </w:tcPr>
          <w:p w14:paraId="013B5E6D"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410" w:type="dxa"/>
            <w:tcBorders>
              <w:top w:val="nil"/>
              <w:left w:val="nil"/>
              <w:bottom w:val="single" w:sz="4" w:space="0" w:color="auto"/>
              <w:right w:val="single" w:sz="4" w:space="0" w:color="auto"/>
            </w:tcBorders>
            <w:shd w:val="clear" w:color="000000" w:fill="305496"/>
            <w:noWrap/>
            <w:vAlign w:val="center"/>
            <w:hideMark/>
          </w:tcPr>
          <w:p w14:paraId="5DA23B49"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33C9487F" w14:textId="04A66D5E"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4BEF016F"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417" w:type="dxa"/>
            <w:tcBorders>
              <w:top w:val="nil"/>
              <w:left w:val="nil"/>
              <w:bottom w:val="single" w:sz="4" w:space="0" w:color="auto"/>
              <w:right w:val="single" w:sz="4" w:space="0" w:color="auto"/>
            </w:tcBorders>
            <w:shd w:val="clear" w:color="000000" w:fill="305496"/>
            <w:noWrap/>
            <w:vAlign w:val="center"/>
            <w:hideMark/>
          </w:tcPr>
          <w:p w14:paraId="2B16DC3D"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5" w:type="dxa"/>
            <w:tcBorders>
              <w:top w:val="nil"/>
              <w:left w:val="nil"/>
              <w:bottom w:val="single" w:sz="4" w:space="0" w:color="auto"/>
              <w:right w:val="single" w:sz="4" w:space="0" w:color="auto"/>
            </w:tcBorders>
            <w:shd w:val="clear" w:color="000000" w:fill="305496"/>
            <w:noWrap/>
            <w:vAlign w:val="center"/>
            <w:hideMark/>
          </w:tcPr>
          <w:p w14:paraId="270BCCA1"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0AB6065F" w14:textId="7FBE5B0E"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041F21BD"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372" w:type="dxa"/>
            <w:tcBorders>
              <w:top w:val="nil"/>
              <w:left w:val="nil"/>
              <w:bottom w:val="single" w:sz="4" w:space="0" w:color="auto"/>
              <w:right w:val="single" w:sz="4" w:space="0" w:color="auto"/>
            </w:tcBorders>
            <w:shd w:val="clear" w:color="000000" w:fill="305496"/>
            <w:noWrap/>
            <w:vAlign w:val="center"/>
            <w:hideMark/>
          </w:tcPr>
          <w:p w14:paraId="395DFE1E"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6" w:type="dxa"/>
            <w:tcBorders>
              <w:top w:val="nil"/>
              <w:left w:val="nil"/>
              <w:bottom w:val="single" w:sz="4" w:space="0" w:color="auto"/>
              <w:right w:val="single" w:sz="4" w:space="0" w:color="auto"/>
            </w:tcBorders>
            <w:shd w:val="clear" w:color="000000" w:fill="305496"/>
            <w:noWrap/>
            <w:vAlign w:val="center"/>
            <w:hideMark/>
          </w:tcPr>
          <w:p w14:paraId="65EA900D"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c>
          <w:tcPr>
            <w:tcW w:w="468" w:type="dxa"/>
            <w:tcBorders>
              <w:top w:val="nil"/>
              <w:left w:val="nil"/>
              <w:bottom w:val="single" w:sz="4" w:space="0" w:color="auto"/>
              <w:right w:val="single" w:sz="4" w:space="0" w:color="auto"/>
            </w:tcBorders>
            <w:shd w:val="clear" w:color="000000" w:fill="305496"/>
            <w:noWrap/>
            <w:vAlign w:val="center"/>
            <w:hideMark/>
          </w:tcPr>
          <w:p w14:paraId="72A523AD" w14:textId="44B812DC"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w:t>
            </w:r>
            <w:r w:rsidR="00696AF4">
              <w:rPr>
                <w:rFonts w:ascii="Calibri" w:hAnsi="Calibri"/>
                <w:b/>
                <w:bCs/>
                <w:color w:val="FFFFFF"/>
                <w:sz w:val="18"/>
                <w:szCs w:val="18"/>
              </w:rPr>
              <w:t xml:space="preserve"> </w:t>
            </w:r>
            <w:r w:rsidRPr="00AD6E25">
              <w:rPr>
                <w:rFonts w:ascii="Calibri" w:hAnsi="Calibri"/>
                <w:b/>
                <w:bCs/>
                <w:color w:val="FFFFFF"/>
                <w:sz w:val="18"/>
                <w:szCs w:val="18"/>
              </w:rPr>
              <w:t>1</w:t>
            </w:r>
          </w:p>
        </w:tc>
        <w:tc>
          <w:tcPr>
            <w:tcW w:w="372" w:type="dxa"/>
            <w:tcBorders>
              <w:top w:val="nil"/>
              <w:left w:val="nil"/>
              <w:bottom w:val="single" w:sz="4" w:space="0" w:color="auto"/>
              <w:right w:val="single" w:sz="4" w:space="0" w:color="auto"/>
            </w:tcBorders>
            <w:shd w:val="clear" w:color="000000" w:fill="305496"/>
            <w:noWrap/>
            <w:vAlign w:val="center"/>
            <w:hideMark/>
          </w:tcPr>
          <w:p w14:paraId="4456A5B3"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Q2</w:t>
            </w:r>
          </w:p>
        </w:tc>
        <w:tc>
          <w:tcPr>
            <w:tcW w:w="372" w:type="dxa"/>
            <w:tcBorders>
              <w:top w:val="nil"/>
              <w:left w:val="nil"/>
              <w:bottom w:val="single" w:sz="4" w:space="0" w:color="auto"/>
              <w:right w:val="single" w:sz="4" w:space="0" w:color="auto"/>
            </w:tcBorders>
            <w:shd w:val="clear" w:color="000000" w:fill="305496"/>
            <w:noWrap/>
            <w:vAlign w:val="center"/>
            <w:hideMark/>
          </w:tcPr>
          <w:p w14:paraId="4B1F95A0"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Q3</w:t>
            </w:r>
          </w:p>
        </w:tc>
        <w:tc>
          <w:tcPr>
            <w:tcW w:w="372" w:type="dxa"/>
            <w:tcBorders>
              <w:top w:val="nil"/>
              <w:left w:val="nil"/>
              <w:bottom w:val="single" w:sz="4" w:space="0" w:color="auto"/>
              <w:right w:val="single" w:sz="4" w:space="0" w:color="auto"/>
            </w:tcBorders>
            <w:shd w:val="clear" w:color="000000" w:fill="305496"/>
            <w:noWrap/>
            <w:vAlign w:val="center"/>
            <w:hideMark/>
          </w:tcPr>
          <w:p w14:paraId="15BBED8D" w14:textId="77777777" w:rsidR="00175689" w:rsidRPr="00AD6E25" w:rsidRDefault="00175689" w:rsidP="00415B28">
            <w:pPr>
              <w:spacing w:after="0" w:line="240" w:lineRule="auto"/>
              <w:jc w:val="center"/>
              <w:rPr>
                <w:rFonts w:ascii="Calibri" w:hAnsi="Calibri"/>
                <w:b/>
                <w:bCs/>
                <w:color w:val="FFFFFF"/>
                <w:sz w:val="18"/>
                <w:szCs w:val="18"/>
              </w:rPr>
            </w:pPr>
            <w:r w:rsidRPr="00AD6E25">
              <w:rPr>
                <w:rFonts w:ascii="Calibri" w:hAnsi="Calibri"/>
                <w:b/>
                <w:bCs/>
                <w:color w:val="FFFFFF"/>
                <w:sz w:val="18"/>
                <w:szCs w:val="18"/>
              </w:rPr>
              <w:t>Q4</w:t>
            </w:r>
          </w:p>
        </w:tc>
      </w:tr>
      <w:tr w:rsidR="002A38BD" w:rsidRPr="00AD6E25" w14:paraId="7EE2AE10" w14:textId="77777777" w:rsidTr="00E63547">
        <w:trPr>
          <w:gridAfter w:val="1"/>
          <w:wAfter w:w="13" w:type="dxa"/>
          <w:trHeight w:val="876"/>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308363D2" w14:textId="63AFCAE0" w:rsidR="00A62147" w:rsidRPr="00833990" w:rsidRDefault="00A62147" w:rsidP="00A62147">
            <w:pPr>
              <w:spacing w:after="0" w:line="240" w:lineRule="auto"/>
              <w:rPr>
                <w:b/>
                <w:bCs/>
                <w:color w:val="000000"/>
                <w:sz w:val="18"/>
                <w:szCs w:val="18"/>
              </w:rPr>
            </w:pPr>
            <w:r w:rsidRPr="00A62147">
              <w:rPr>
                <w:b/>
                <w:bCs/>
                <w:color w:val="000000"/>
                <w:sz w:val="18"/>
                <w:szCs w:val="18"/>
              </w:rPr>
              <w:t>Task 2.5.1 Review of N measures adopted by GEF and incorporation into database</w:t>
            </w:r>
          </w:p>
        </w:tc>
        <w:tc>
          <w:tcPr>
            <w:tcW w:w="404" w:type="dxa"/>
            <w:tcBorders>
              <w:top w:val="single" w:sz="4" w:space="0" w:color="auto"/>
              <w:left w:val="single" w:sz="4" w:space="0" w:color="auto"/>
              <w:bottom w:val="single" w:sz="4" w:space="0" w:color="auto"/>
              <w:right w:val="single" w:sz="4" w:space="0" w:color="auto"/>
            </w:tcBorders>
            <w:shd w:val="clear" w:color="auto" w:fill="D99694"/>
            <w:noWrap/>
            <w:vAlign w:val="center"/>
          </w:tcPr>
          <w:p w14:paraId="3B9941F0" w14:textId="77777777" w:rsidR="00A62147" w:rsidRPr="00833990"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D99694"/>
            <w:noWrap/>
            <w:vAlign w:val="center"/>
          </w:tcPr>
          <w:p w14:paraId="01835514" w14:textId="3577B1D9" w:rsidR="00A62147" w:rsidRPr="00C40BBA" w:rsidRDefault="00E63547" w:rsidP="00A62147">
            <w:pPr>
              <w:spacing w:after="0" w:line="240" w:lineRule="auto"/>
              <w:rPr>
                <w:rFonts w:ascii="Calibri" w:hAnsi="Calibri"/>
                <w:b/>
                <w:bCs/>
                <w:color w:val="000000"/>
                <w:sz w:val="18"/>
                <w:szCs w:val="18"/>
              </w:rPr>
            </w:pPr>
            <w:r>
              <w:rPr>
                <w:rFonts w:ascii="Calibri" w:hAnsi="Calibri"/>
                <w:b/>
                <w:bCs/>
                <w:color w:val="000000"/>
                <w:sz w:val="18"/>
                <w:szCs w:val="18"/>
              </w:rPr>
              <w:t>M</w:t>
            </w:r>
          </w:p>
        </w:tc>
        <w:tc>
          <w:tcPr>
            <w:tcW w:w="406" w:type="dxa"/>
            <w:tcBorders>
              <w:top w:val="nil"/>
              <w:left w:val="nil"/>
              <w:bottom w:val="single" w:sz="4" w:space="0" w:color="auto"/>
              <w:right w:val="single" w:sz="4" w:space="0" w:color="auto"/>
            </w:tcBorders>
            <w:shd w:val="clear" w:color="auto" w:fill="D99694"/>
            <w:noWrap/>
            <w:vAlign w:val="center"/>
          </w:tcPr>
          <w:p w14:paraId="26639F48" w14:textId="77777777" w:rsidR="00A62147" w:rsidRPr="00C40BBA" w:rsidRDefault="00A62147" w:rsidP="00A62147">
            <w:pPr>
              <w:spacing w:after="0" w:line="240" w:lineRule="auto"/>
              <w:rPr>
                <w:rFonts w:ascii="Calibri" w:hAnsi="Calibri"/>
                <w:b/>
                <w:bCs/>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56E25DC7" w14:textId="4BEE90FF" w:rsidR="00A62147" w:rsidRPr="00C40BBA" w:rsidRDefault="00E63547" w:rsidP="00A62147">
            <w:pPr>
              <w:spacing w:after="0" w:line="240" w:lineRule="auto"/>
              <w:rPr>
                <w:rFonts w:ascii="Calibri" w:hAnsi="Calibri"/>
                <w:b/>
                <w:bCs/>
                <w:color w:val="000000"/>
                <w:sz w:val="18"/>
                <w:szCs w:val="18"/>
              </w:rPr>
            </w:pPr>
            <w:r>
              <w:rPr>
                <w:rFonts w:ascii="Calibri" w:hAnsi="Calibri"/>
                <w:b/>
                <w:bCs/>
                <w:color w:val="000000"/>
                <w:sz w:val="18"/>
                <w:szCs w:val="18"/>
              </w:rPr>
              <w:t>R</w:t>
            </w:r>
          </w:p>
        </w:tc>
        <w:tc>
          <w:tcPr>
            <w:tcW w:w="468" w:type="dxa"/>
            <w:tcBorders>
              <w:top w:val="nil"/>
              <w:left w:val="nil"/>
              <w:bottom w:val="single" w:sz="4" w:space="0" w:color="auto"/>
              <w:right w:val="single" w:sz="4" w:space="0" w:color="auto"/>
            </w:tcBorders>
            <w:shd w:val="clear" w:color="auto" w:fill="auto"/>
            <w:noWrap/>
            <w:vAlign w:val="center"/>
          </w:tcPr>
          <w:p w14:paraId="453491B8"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CC709BA" w14:textId="77777777" w:rsidR="00A62147" w:rsidRPr="00C40BBA" w:rsidRDefault="00A62147" w:rsidP="00A62147">
            <w:pPr>
              <w:spacing w:after="0" w:line="240" w:lineRule="auto"/>
              <w:rPr>
                <w:rFonts w:ascii="Calibri" w:hAnsi="Calibri"/>
                <w:b/>
                <w:bCs/>
                <w:color w:val="000000"/>
                <w:sz w:val="18"/>
                <w:szCs w:val="18"/>
              </w:rPr>
            </w:pPr>
          </w:p>
        </w:tc>
        <w:tc>
          <w:tcPr>
            <w:tcW w:w="417" w:type="dxa"/>
            <w:tcBorders>
              <w:top w:val="nil"/>
              <w:left w:val="nil"/>
              <w:bottom w:val="single" w:sz="4" w:space="0" w:color="auto"/>
              <w:right w:val="single" w:sz="4" w:space="0" w:color="auto"/>
            </w:tcBorders>
            <w:shd w:val="clear" w:color="auto" w:fill="auto"/>
            <w:noWrap/>
            <w:vAlign w:val="center"/>
          </w:tcPr>
          <w:p w14:paraId="4ACCDBCB" w14:textId="77777777" w:rsidR="00A62147" w:rsidRPr="00C40BBA" w:rsidRDefault="00A62147" w:rsidP="00A62147">
            <w:pPr>
              <w:spacing w:after="0" w:line="240" w:lineRule="auto"/>
              <w:jc w:val="center"/>
              <w:rPr>
                <w:rFonts w:ascii="Calibri" w:hAnsi="Calibri"/>
                <w:b/>
                <w:bCs/>
                <w:color w:val="000000"/>
                <w:sz w:val="18"/>
                <w:szCs w:val="18"/>
              </w:rPr>
            </w:pPr>
          </w:p>
        </w:tc>
        <w:tc>
          <w:tcPr>
            <w:tcW w:w="375" w:type="dxa"/>
            <w:tcBorders>
              <w:top w:val="nil"/>
              <w:left w:val="nil"/>
              <w:bottom w:val="single" w:sz="4" w:space="0" w:color="auto"/>
              <w:right w:val="single" w:sz="4" w:space="0" w:color="auto"/>
            </w:tcBorders>
            <w:shd w:val="clear" w:color="auto" w:fill="auto"/>
            <w:noWrap/>
            <w:vAlign w:val="center"/>
          </w:tcPr>
          <w:p w14:paraId="3018CF91"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42DFB8D4"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1BC27DFA"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F6794F3" w14:textId="77777777" w:rsidR="00A62147" w:rsidRPr="00C40BBA" w:rsidRDefault="00A62147" w:rsidP="00A62147">
            <w:pPr>
              <w:spacing w:after="0" w:line="240" w:lineRule="auto"/>
              <w:rPr>
                <w:rFonts w:ascii="Calibri" w:hAnsi="Calibri"/>
                <w:b/>
                <w:bCs/>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13C9D970"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41A76924"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E79608B"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2179A5DD"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2DCE24E" w14:textId="77777777" w:rsidR="00A62147" w:rsidRPr="00C40BBA" w:rsidRDefault="00A62147" w:rsidP="00A62147">
            <w:pPr>
              <w:spacing w:after="0" w:line="240" w:lineRule="auto"/>
              <w:rPr>
                <w:rFonts w:ascii="Calibri" w:hAnsi="Calibri"/>
                <w:b/>
                <w:bCs/>
                <w:color w:val="000000"/>
                <w:sz w:val="18"/>
                <w:szCs w:val="18"/>
              </w:rPr>
            </w:pPr>
          </w:p>
        </w:tc>
      </w:tr>
      <w:tr w:rsidR="002A38BD" w:rsidRPr="00AD6E25" w14:paraId="78150061" w14:textId="77777777" w:rsidTr="00E63547">
        <w:trPr>
          <w:gridAfter w:val="1"/>
          <w:wAfter w:w="13" w:type="dxa"/>
          <w:trHeight w:val="798"/>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0153B2FD" w14:textId="6A06E4AA" w:rsidR="00A62147" w:rsidRPr="00833990" w:rsidRDefault="00A62147" w:rsidP="00A62147">
            <w:pPr>
              <w:spacing w:after="0" w:line="240" w:lineRule="auto"/>
              <w:rPr>
                <w:b/>
                <w:bCs/>
                <w:color w:val="000000"/>
                <w:sz w:val="18"/>
                <w:szCs w:val="18"/>
              </w:rPr>
            </w:pPr>
            <w:r w:rsidRPr="00A62147">
              <w:rPr>
                <w:b/>
                <w:bCs/>
                <w:color w:val="000000"/>
                <w:sz w:val="18"/>
                <w:szCs w:val="18"/>
              </w:rPr>
              <w:t>Task 2.5.2 Review of N measures adopted by others inc from INMS demo regions &amp; inc in database</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652EE" w14:textId="77777777" w:rsidR="00A62147" w:rsidRPr="00833990"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24A81EB9" w14:textId="77777777" w:rsidR="00A62147" w:rsidRPr="00C40BBA" w:rsidRDefault="00A62147" w:rsidP="00A62147">
            <w:pPr>
              <w:spacing w:after="0" w:line="240" w:lineRule="auto"/>
              <w:rPr>
                <w:rFonts w:ascii="Calibri" w:hAnsi="Calibri"/>
                <w:b/>
                <w:bCs/>
                <w:color w:val="000000"/>
                <w:sz w:val="18"/>
                <w:szCs w:val="18"/>
              </w:rPr>
            </w:pPr>
          </w:p>
        </w:tc>
        <w:tc>
          <w:tcPr>
            <w:tcW w:w="406" w:type="dxa"/>
            <w:tcBorders>
              <w:top w:val="nil"/>
              <w:left w:val="nil"/>
              <w:bottom w:val="single" w:sz="4" w:space="0" w:color="auto"/>
              <w:right w:val="single" w:sz="4" w:space="0" w:color="auto"/>
            </w:tcBorders>
            <w:shd w:val="clear" w:color="auto" w:fill="D99694"/>
            <w:noWrap/>
            <w:vAlign w:val="center"/>
          </w:tcPr>
          <w:p w14:paraId="60AF6F44" w14:textId="77777777" w:rsidR="00A62147" w:rsidRPr="00C40BBA" w:rsidRDefault="00A62147" w:rsidP="00A62147">
            <w:pPr>
              <w:spacing w:after="0" w:line="240" w:lineRule="auto"/>
              <w:rPr>
                <w:rFonts w:ascii="Calibri" w:hAnsi="Calibri"/>
                <w:b/>
                <w:bCs/>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454C5CE8"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1D95004F" w14:textId="1A3D6533" w:rsidR="00A62147" w:rsidRPr="00C40BBA" w:rsidRDefault="00E63547" w:rsidP="00A62147">
            <w:pPr>
              <w:spacing w:after="0" w:line="240" w:lineRule="auto"/>
              <w:rPr>
                <w:rFonts w:ascii="Calibri" w:hAnsi="Calibri"/>
                <w:b/>
                <w:bCs/>
                <w:color w:val="000000"/>
                <w:sz w:val="18"/>
                <w:szCs w:val="18"/>
              </w:rPr>
            </w:pPr>
            <w:r>
              <w:rPr>
                <w:rFonts w:ascii="Calibri" w:hAnsi="Calibri"/>
                <w:b/>
                <w:bCs/>
                <w:color w:val="000000"/>
                <w:sz w:val="18"/>
                <w:szCs w:val="18"/>
              </w:rPr>
              <w:t>M</w:t>
            </w:r>
          </w:p>
        </w:tc>
        <w:tc>
          <w:tcPr>
            <w:tcW w:w="372" w:type="dxa"/>
            <w:tcBorders>
              <w:top w:val="nil"/>
              <w:left w:val="nil"/>
              <w:bottom w:val="single" w:sz="4" w:space="0" w:color="auto"/>
              <w:right w:val="single" w:sz="4" w:space="0" w:color="auto"/>
            </w:tcBorders>
            <w:shd w:val="clear" w:color="auto" w:fill="D99694"/>
            <w:noWrap/>
            <w:vAlign w:val="center"/>
          </w:tcPr>
          <w:p w14:paraId="783989DF" w14:textId="77777777" w:rsidR="00A62147" w:rsidRPr="00C40BBA" w:rsidRDefault="00A62147" w:rsidP="00A62147">
            <w:pPr>
              <w:spacing w:after="0" w:line="240" w:lineRule="auto"/>
              <w:rPr>
                <w:rFonts w:ascii="Calibri" w:hAnsi="Calibri"/>
                <w:b/>
                <w:bCs/>
                <w:color w:val="000000"/>
                <w:sz w:val="18"/>
                <w:szCs w:val="18"/>
              </w:rPr>
            </w:pPr>
          </w:p>
        </w:tc>
        <w:tc>
          <w:tcPr>
            <w:tcW w:w="417" w:type="dxa"/>
            <w:tcBorders>
              <w:top w:val="nil"/>
              <w:left w:val="nil"/>
              <w:bottom w:val="single" w:sz="4" w:space="0" w:color="auto"/>
              <w:right w:val="single" w:sz="4" w:space="0" w:color="auto"/>
            </w:tcBorders>
            <w:shd w:val="clear" w:color="auto" w:fill="D99694"/>
            <w:noWrap/>
            <w:vAlign w:val="center"/>
          </w:tcPr>
          <w:p w14:paraId="526B3289" w14:textId="406011D8" w:rsidR="00A62147" w:rsidRPr="00C40BBA" w:rsidRDefault="00E63547" w:rsidP="00A62147">
            <w:pPr>
              <w:spacing w:after="0" w:line="240" w:lineRule="auto"/>
              <w:rPr>
                <w:rFonts w:ascii="Calibri" w:hAnsi="Calibri"/>
                <w:b/>
                <w:bCs/>
                <w:color w:val="000000"/>
                <w:sz w:val="18"/>
                <w:szCs w:val="18"/>
              </w:rPr>
            </w:pPr>
            <w:r>
              <w:rPr>
                <w:rFonts w:ascii="Calibri" w:hAnsi="Calibri"/>
                <w:b/>
                <w:bCs/>
                <w:color w:val="000000"/>
                <w:sz w:val="18"/>
                <w:szCs w:val="18"/>
              </w:rPr>
              <w:t>R</w:t>
            </w:r>
          </w:p>
        </w:tc>
        <w:tc>
          <w:tcPr>
            <w:tcW w:w="375" w:type="dxa"/>
            <w:tcBorders>
              <w:top w:val="nil"/>
              <w:left w:val="nil"/>
              <w:bottom w:val="single" w:sz="4" w:space="0" w:color="auto"/>
              <w:right w:val="single" w:sz="4" w:space="0" w:color="auto"/>
            </w:tcBorders>
            <w:shd w:val="clear" w:color="auto" w:fill="auto"/>
            <w:noWrap/>
            <w:vAlign w:val="center"/>
          </w:tcPr>
          <w:p w14:paraId="757E9BCA"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152B956A"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440FAEE4"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28B54130" w14:textId="77777777" w:rsidR="00A62147" w:rsidRPr="00C40BBA" w:rsidRDefault="00A62147" w:rsidP="00A62147">
            <w:pPr>
              <w:spacing w:after="0" w:line="240" w:lineRule="auto"/>
              <w:rPr>
                <w:rFonts w:ascii="Calibri" w:hAnsi="Calibri"/>
                <w:b/>
                <w:bCs/>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4C92988B" w14:textId="77777777" w:rsidR="00A62147" w:rsidRPr="00C40BBA" w:rsidRDefault="00A62147" w:rsidP="00A62147">
            <w:pPr>
              <w:spacing w:after="0" w:line="240" w:lineRule="auto"/>
              <w:rPr>
                <w:rFonts w:ascii="Calibri" w:hAnsi="Calibri"/>
                <w:b/>
                <w:bCs/>
                <w:color w:val="000000"/>
                <w:sz w:val="18"/>
                <w:szCs w:val="18"/>
              </w:rPr>
            </w:pPr>
          </w:p>
        </w:tc>
        <w:tc>
          <w:tcPr>
            <w:tcW w:w="468" w:type="dxa"/>
            <w:tcBorders>
              <w:top w:val="nil"/>
              <w:left w:val="nil"/>
              <w:bottom w:val="single" w:sz="4" w:space="0" w:color="auto"/>
              <w:right w:val="single" w:sz="4" w:space="0" w:color="auto"/>
            </w:tcBorders>
            <w:shd w:val="clear" w:color="auto" w:fill="auto"/>
            <w:noWrap/>
            <w:vAlign w:val="center"/>
          </w:tcPr>
          <w:p w14:paraId="2EF2D8A0"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56D3A95"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A6D3268" w14:textId="77777777" w:rsidR="00A62147" w:rsidRPr="00C40BBA" w:rsidRDefault="00A62147" w:rsidP="00A62147">
            <w:pPr>
              <w:spacing w:after="0" w:line="240" w:lineRule="auto"/>
              <w:rPr>
                <w:rFonts w:ascii="Calibri" w:hAnsi="Calibri"/>
                <w:b/>
                <w:bCs/>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0A33962D" w14:textId="77777777" w:rsidR="00A62147" w:rsidRPr="00C40BBA" w:rsidRDefault="00A62147" w:rsidP="00A62147">
            <w:pPr>
              <w:spacing w:after="0" w:line="240" w:lineRule="auto"/>
              <w:rPr>
                <w:rFonts w:ascii="Calibri" w:hAnsi="Calibri"/>
                <w:b/>
                <w:bCs/>
                <w:color w:val="000000"/>
                <w:sz w:val="18"/>
                <w:szCs w:val="18"/>
              </w:rPr>
            </w:pPr>
          </w:p>
        </w:tc>
      </w:tr>
      <w:tr w:rsidR="002A38BD" w:rsidRPr="00AD6E25" w14:paraId="56C56973" w14:textId="77777777" w:rsidTr="00E63547">
        <w:trPr>
          <w:gridAfter w:val="1"/>
          <w:wAfter w:w="13" w:type="dxa"/>
          <w:trHeight w:val="365"/>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tcPr>
          <w:p w14:paraId="71BFDF67" w14:textId="257F402D" w:rsidR="00A62147" w:rsidRPr="00833990" w:rsidRDefault="00A62147" w:rsidP="00A62147">
            <w:pPr>
              <w:spacing w:after="0" w:line="240" w:lineRule="auto"/>
              <w:rPr>
                <w:b/>
                <w:bCs/>
                <w:color w:val="000000"/>
                <w:sz w:val="18"/>
                <w:szCs w:val="18"/>
              </w:rPr>
            </w:pPr>
            <w:r w:rsidRPr="00A62147">
              <w:rPr>
                <w:b/>
                <w:bCs/>
                <w:color w:val="000000"/>
                <w:sz w:val="18"/>
                <w:szCs w:val="18"/>
              </w:rPr>
              <w:t xml:space="preserve">Task 2.5.3 Preparation of compendium of knowledge on N measures </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A5565" w14:textId="77777777" w:rsidR="00A62147" w:rsidRPr="00833990" w:rsidRDefault="00A62147" w:rsidP="00A62147">
            <w:pPr>
              <w:spacing w:after="0" w:line="240" w:lineRule="auto"/>
              <w:rPr>
                <w:b/>
                <w:bCs/>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00DB01F3" w14:textId="77777777" w:rsidR="00A62147" w:rsidRPr="00C40BBA" w:rsidRDefault="00A62147" w:rsidP="00A62147">
            <w:pPr>
              <w:spacing w:after="0" w:line="240" w:lineRule="auto"/>
              <w:rPr>
                <w:rFonts w:ascii="Calibri" w:hAnsi="Calibri"/>
                <w:color w:val="000000"/>
                <w:sz w:val="18"/>
                <w:szCs w:val="18"/>
              </w:rPr>
            </w:pPr>
          </w:p>
        </w:tc>
        <w:tc>
          <w:tcPr>
            <w:tcW w:w="406" w:type="dxa"/>
            <w:tcBorders>
              <w:top w:val="nil"/>
              <w:left w:val="nil"/>
              <w:bottom w:val="single" w:sz="4" w:space="0" w:color="auto"/>
              <w:right w:val="single" w:sz="4" w:space="0" w:color="auto"/>
            </w:tcBorders>
            <w:shd w:val="clear" w:color="auto" w:fill="auto"/>
            <w:noWrap/>
            <w:vAlign w:val="center"/>
          </w:tcPr>
          <w:p w14:paraId="6CE67D39" w14:textId="77777777" w:rsidR="00A62147" w:rsidRPr="00C40BBA" w:rsidRDefault="00A62147" w:rsidP="00A62147">
            <w:pPr>
              <w:spacing w:after="0" w:line="240" w:lineRule="auto"/>
              <w:rPr>
                <w:rFonts w:ascii="Calibri" w:hAnsi="Calibri"/>
                <w:color w:val="000000"/>
                <w:sz w:val="18"/>
                <w:szCs w:val="18"/>
              </w:rPr>
            </w:pPr>
          </w:p>
        </w:tc>
        <w:tc>
          <w:tcPr>
            <w:tcW w:w="410" w:type="dxa"/>
            <w:tcBorders>
              <w:top w:val="nil"/>
              <w:left w:val="nil"/>
              <w:bottom w:val="single" w:sz="4" w:space="0" w:color="auto"/>
              <w:right w:val="single" w:sz="4" w:space="0" w:color="auto"/>
            </w:tcBorders>
            <w:shd w:val="clear" w:color="auto" w:fill="D99694"/>
            <w:noWrap/>
            <w:vAlign w:val="center"/>
          </w:tcPr>
          <w:p w14:paraId="615EEB84" w14:textId="59152AC2" w:rsidR="00A62147" w:rsidRPr="00E63547" w:rsidRDefault="00E63547" w:rsidP="00A62147">
            <w:pPr>
              <w:spacing w:after="0" w:line="240" w:lineRule="auto"/>
              <w:rPr>
                <w:rFonts w:ascii="Calibri" w:hAnsi="Calibri"/>
                <w:b/>
                <w:color w:val="000000" w:themeColor="text1"/>
                <w:sz w:val="18"/>
                <w:szCs w:val="18"/>
              </w:rPr>
            </w:pPr>
            <w:r w:rsidRPr="00E63547">
              <w:rPr>
                <w:rFonts w:ascii="Calibri" w:hAnsi="Calibri"/>
                <w:b/>
                <w:color w:val="000000" w:themeColor="text1"/>
                <w:sz w:val="18"/>
                <w:szCs w:val="18"/>
              </w:rPr>
              <w:t>R</w:t>
            </w:r>
          </w:p>
        </w:tc>
        <w:tc>
          <w:tcPr>
            <w:tcW w:w="468" w:type="dxa"/>
            <w:tcBorders>
              <w:top w:val="nil"/>
              <w:left w:val="nil"/>
              <w:bottom w:val="single" w:sz="4" w:space="0" w:color="auto"/>
              <w:right w:val="single" w:sz="4" w:space="0" w:color="auto"/>
            </w:tcBorders>
            <w:shd w:val="clear" w:color="auto" w:fill="D99694"/>
            <w:noWrap/>
            <w:vAlign w:val="center"/>
          </w:tcPr>
          <w:p w14:paraId="117E1D6B" w14:textId="1C16288C" w:rsidR="00A62147" w:rsidRPr="00E63547" w:rsidRDefault="00E63547" w:rsidP="00A62147">
            <w:pPr>
              <w:spacing w:after="0" w:line="240" w:lineRule="auto"/>
              <w:rPr>
                <w:rFonts w:ascii="Calibri" w:hAnsi="Calibri"/>
                <w:b/>
                <w:color w:val="000000" w:themeColor="text1"/>
                <w:sz w:val="18"/>
                <w:szCs w:val="18"/>
              </w:rPr>
            </w:pPr>
            <w:r w:rsidRPr="00E63547">
              <w:rPr>
                <w:rFonts w:ascii="Calibri" w:hAnsi="Calibri"/>
                <w:b/>
                <w:color w:val="000000" w:themeColor="text1"/>
                <w:sz w:val="18"/>
                <w:szCs w:val="18"/>
              </w:rPr>
              <w:t>M</w:t>
            </w:r>
          </w:p>
        </w:tc>
        <w:tc>
          <w:tcPr>
            <w:tcW w:w="372" w:type="dxa"/>
            <w:tcBorders>
              <w:top w:val="nil"/>
              <w:left w:val="nil"/>
              <w:bottom w:val="single" w:sz="4" w:space="0" w:color="auto"/>
              <w:right w:val="single" w:sz="4" w:space="0" w:color="auto"/>
            </w:tcBorders>
            <w:shd w:val="clear" w:color="auto" w:fill="D99694"/>
            <w:noWrap/>
            <w:vAlign w:val="center"/>
          </w:tcPr>
          <w:p w14:paraId="2E3B4C04" w14:textId="77777777" w:rsidR="00A62147" w:rsidRPr="00C40BBA" w:rsidRDefault="00A62147" w:rsidP="00A62147">
            <w:pPr>
              <w:spacing w:after="0" w:line="240" w:lineRule="auto"/>
              <w:rPr>
                <w:rFonts w:ascii="Calibri" w:hAnsi="Calibri"/>
                <w:color w:val="000000"/>
                <w:sz w:val="18"/>
                <w:szCs w:val="18"/>
              </w:rPr>
            </w:pPr>
          </w:p>
        </w:tc>
        <w:tc>
          <w:tcPr>
            <w:tcW w:w="417" w:type="dxa"/>
            <w:tcBorders>
              <w:top w:val="nil"/>
              <w:left w:val="nil"/>
              <w:bottom w:val="single" w:sz="4" w:space="0" w:color="auto"/>
              <w:right w:val="single" w:sz="4" w:space="0" w:color="auto"/>
            </w:tcBorders>
            <w:shd w:val="clear" w:color="auto" w:fill="D99694"/>
            <w:noWrap/>
            <w:vAlign w:val="center"/>
          </w:tcPr>
          <w:p w14:paraId="33E00D7F" w14:textId="77777777" w:rsidR="00A62147" w:rsidRPr="00D76F9C" w:rsidRDefault="00A62147" w:rsidP="00A62147">
            <w:pPr>
              <w:spacing w:after="0" w:line="240" w:lineRule="auto"/>
              <w:rPr>
                <w:rFonts w:ascii="Calibri" w:hAnsi="Calibri"/>
                <w:b/>
                <w:color w:val="000000"/>
                <w:sz w:val="18"/>
                <w:szCs w:val="18"/>
                <w:vertAlign w:val="superscript"/>
              </w:rPr>
            </w:pPr>
          </w:p>
        </w:tc>
        <w:tc>
          <w:tcPr>
            <w:tcW w:w="375" w:type="dxa"/>
            <w:tcBorders>
              <w:top w:val="nil"/>
              <w:left w:val="nil"/>
              <w:bottom w:val="single" w:sz="4" w:space="0" w:color="auto"/>
              <w:right w:val="single" w:sz="4" w:space="0" w:color="auto"/>
            </w:tcBorders>
            <w:shd w:val="clear" w:color="auto" w:fill="D99694"/>
            <w:noWrap/>
            <w:vAlign w:val="center"/>
          </w:tcPr>
          <w:p w14:paraId="35728506"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05660063" w14:textId="40996DC6" w:rsidR="00A62147" w:rsidRPr="00E63547" w:rsidRDefault="00E63547" w:rsidP="00A62147">
            <w:pPr>
              <w:spacing w:after="0" w:line="240" w:lineRule="auto"/>
              <w:rPr>
                <w:rFonts w:ascii="Calibri" w:hAnsi="Calibri"/>
                <w:b/>
                <w:color w:val="000000"/>
                <w:sz w:val="18"/>
                <w:szCs w:val="18"/>
              </w:rPr>
            </w:pPr>
            <w:r w:rsidRPr="00E63547">
              <w:rPr>
                <w:rFonts w:ascii="Calibri" w:hAnsi="Calibri"/>
                <w:b/>
                <w:color w:val="000000"/>
                <w:sz w:val="18"/>
                <w:szCs w:val="18"/>
              </w:rPr>
              <w:t>R</w:t>
            </w:r>
          </w:p>
        </w:tc>
        <w:tc>
          <w:tcPr>
            <w:tcW w:w="372" w:type="dxa"/>
            <w:tcBorders>
              <w:top w:val="nil"/>
              <w:left w:val="nil"/>
              <w:bottom w:val="single" w:sz="4" w:space="0" w:color="auto"/>
              <w:right w:val="single" w:sz="4" w:space="0" w:color="auto"/>
            </w:tcBorders>
            <w:shd w:val="clear" w:color="auto" w:fill="auto"/>
            <w:noWrap/>
            <w:vAlign w:val="center"/>
          </w:tcPr>
          <w:p w14:paraId="35299B33"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1833C713" w14:textId="77777777" w:rsidR="00A62147" w:rsidRPr="00D76F9C" w:rsidRDefault="00A62147" w:rsidP="00A62147">
            <w:pPr>
              <w:spacing w:after="0" w:line="240" w:lineRule="auto"/>
              <w:rPr>
                <w:rFonts w:ascii="Calibri" w:hAnsi="Calibri"/>
                <w:b/>
                <w:color w:val="000000"/>
                <w:sz w:val="18"/>
                <w:szCs w:val="18"/>
              </w:rPr>
            </w:pPr>
          </w:p>
        </w:tc>
        <w:tc>
          <w:tcPr>
            <w:tcW w:w="376" w:type="dxa"/>
            <w:tcBorders>
              <w:top w:val="nil"/>
              <w:left w:val="nil"/>
              <w:bottom w:val="single" w:sz="4" w:space="0" w:color="auto"/>
              <w:right w:val="single" w:sz="4" w:space="0" w:color="auto"/>
            </w:tcBorders>
            <w:shd w:val="clear" w:color="auto" w:fill="auto"/>
            <w:noWrap/>
            <w:vAlign w:val="center"/>
          </w:tcPr>
          <w:p w14:paraId="1568EBB0" w14:textId="77777777" w:rsidR="00A62147" w:rsidRPr="00C40BBA" w:rsidRDefault="00A62147" w:rsidP="00A62147">
            <w:pPr>
              <w:spacing w:after="0" w:line="240" w:lineRule="auto"/>
              <w:rPr>
                <w:rFonts w:ascii="Calibri" w:hAnsi="Calibri"/>
                <w:color w:val="000000"/>
                <w:sz w:val="18"/>
                <w:szCs w:val="18"/>
              </w:rPr>
            </w:pPr>
          </w:p>
        </w:tc>
        <w:tc>
          <w:tcPr>
            <w:tcW w:w="468" w:type="dxa"/>
            <w:tcBorders>
              <w:top w:val="nil"/>
              <w:left w:val="nil"/>
              <w:bottom w:val="single" w:sz="4" w:space="0" w:color="auto"/>
              <w:right w:val="single" w:sz="4" w:space="0" w:color="auto"/>
            </w:tcBorders>
            <w:shd w:val="clear" w:color="auto" w:fill="D99694"/>
            <w:noWrap/>
            <w:vAlign w:val="center"/>
          </w:tcPr>
          <w:p w14:paraId="752672DC"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5F115D67"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auto"/>
            <w:noWrap/>
            <w:vAlign w:val="center"/>
          </w:tcPr>
          <w:p w14:paraId="38391F72" w14:textId="77777777" w:rsidR="00A62147" w:rsidRPr="00C40BBA" w:rsidRDefault="00A62147" w:rsidP="00A62147">
            <w:pPr>
              <w:spacing w:after="0" w:line="240" w:lineRule="auto"/>
              <w:rPr>
                <w:rFonts w:ascii="Calibri" w:hAnsi="Calibri"/>
                <w:color w:val="000000"/>
                <w:sz w:val="18"/>
                <w:szCs w:val="18"/>
              </w:rPr>
            </w:pPr>
          </w:p>
        </w:tc>
        <w:tc>
          <w:tcPr>
            <w:tcW w:w="372" w:type="dxa"/>
            <w:tcBorders>
              <w:top w:val="nil"/>
              <w:left w:val="nil"/>
              <w:bottom w:val="single" w:sz="4" w:space="0" w:color="auto"/>
              <w:right w:val="single" w:sz="4" w:space="0" w:color="auto"/>
            </w:tcBorders>
            <w:shd w:val="clear" w:color="auto" w:fill="D99694"/>
            <w:noWrap/>
            <w:vAlign w:val="center"/>
          </w:tcPr>
          <w:p w14:paraId="027828E4" w14:textId="77777777" w:rsidR="00A62147" w:rsidRPr="00C40BBA" w:rsidRDefault="00A62147" w:rsidP="00A62147">
            <w:pPr>
              <w:spacing w:after="0" w:line="240" w:lineRule="auto"/>
              <w:rPr>
                <w:rFonts w:ascii="Calibri" w:hAnsi="Calibri"/>
                <w:color w:val="000000"/>
                <w:sz w:val="18"/>
                <w:szCs w:val="18"/>
              </w:rPr>
            </w:pPr>
          </w:p>
        </w:tc>
      </w:tr>
      <w:tr w:rsidR="002A38BD" w:rsidRPr="00AD6E25" w14:paraId="208A2813" w14:textId="77777777" w:rsidTr="00E63547">
        <w:trPr>
          <w:gridAfter w:val="1"/>
          <w:wAfter w:w="13" w:type="dxa"/>
          <w:trHeight w:val="584"/>
          <w:jc w:val="center"/>
        </w:trPr>
        <w:tc>
          <w:tcPr>
            <w:tcW w:w="4857" w:type="dxa"/>
            <w:tcBorders>
              <w:top w:val="single" w:sz="4" w:space="0" w:color="auto"/>
              <w:left w:val="single" w:sz="4" w:space="0" w:color="auto"/>
              <w:bottom w:val="single" w:sz="4" w:space="0" w:color="auto"/>
              <w:right w:val="single" w:sz="4" w:space="0" w:color="auto"/>
            </w:tcBorders>
            <w:shd w:val="clear" w:color="000000" w:fill="DDEBF7"/>
            <w:vAlign w:val="center"/>
          </w:tcPr>
          <w:p w14:paraId="64D562B3" w14:textId="77777777" w:rsidR="00175689" w:rsidRDefault="00175689" w:rsidP="00415B28">
            <w:pPr>
              <w:spacing w:after="0" w:line="240" w:lineRule="auto"/>
              <w:rPr>
                <w:b/>
                <w:bCs/>
                <w:color w:val="000000"/>
                <w:sz w:val="18"/>
                <w:szCs w:val="18"/>
              </w:rPr>
            </w:pPr>
            <w:r>
              <w:rPr>
                <w:b/>
                <w:bCs/>
                <w:color w:val="000000"/>
                <w:sz w:val="18"/>
                <w:szCs w:val="18"/>
              </w:rPr>
              <w:t>Monitoring and Evaluation</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86B48" w14:textId="77777777" w:rsidR="00175689" w:rsidRPr="00833990" w:rsidRDefault="00175689" w:rsidP="00415B28">
            <w:pPr>
              <w:spacing w:after="0" w:line="240" w:lineRule="auto"/>
              <w:rPr>
                <w:b/>
                <w:bCs/>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center"/>
          </w:tcPr>
          <w:p w14:paraId="34788578" w14:textId="77777777" w:rsidR="00175689" w:rsidRPr="00D76F9C" w:rsidRDefault="00175689" w:rsidP="00415B28">
            <w:pPr>
              <w:spacing w:after="0" w:line="240" w:lineRule="auto"/>
              <w:jc w:val="center"/>
              <w:rPr>
                <w:b/>
                <w:bCs/>
                <w:color w:val="000000"/>
                <w:sz w:val="18"/>
                <w:szCs w:val="18"/>
              </w:rPr>
            </w:pPr>
          </w:p>
        </w:tc>
        <w:tc>
          <w:tcPr>
            <w:tcW w:w="406" w:type="dxa"/>
            <w:tcBorders>
              <w:top w:val="single" w:sz="4" w:space="0" w:color="auto"/>
              <w:left w:val="nil"/>
              <w:bottom w:val="single" w:sz="4" w:space="0" w:color="auto"/>
              <w:right w:val="single" w:sz="4" w:space="0" w:color="auto"/>
            </w:tcBorders>
            <w:shd w:val="clear" w:color="auto" w:fill="auto"/>
            <w:noWrap/>
            <w:vAlign w:val="center"/>
          </w:tcPr>
          <w:p w14:paraId="0EA51E0B" w14:textId="77777777" w:rsidR="00175689" w:rsidRPr="00D76F9C" w:rsidRDefault="00175689" w:rsidP="00415B28">
            <w:pPr>
              <w:spacing w:after="0" w:line="240" w:lineRule="auto"/>
              <w:rPr>
                <w:b/>
                <w:bCs/>
                <w:color w:val="000000"/>
                <w:sz w:val="18"/>
                <w:szCs w:val="18"/>
              </w:rPr>
            </w:pP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6F7E507A" w14:textId="77777777" w:rsidR="00175689" w:rsidRPr="00D76F9C" w:rsidRDefault="00175689" w:rsidP="00415B28">
            <w:pPr>
              <w:spacing w:after="0" w:line="240" w:lineRule="auto"/>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5BE25945" w14:textId="3D90BACD" w:rsidR="00175689" w:rsidRPr="00D76F9C" w:rsidRDefault="00E63547"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15879D23" w14:textId="77777777" w:rsidR="00175689" w:rsidRPr="00D76F9C" w:rsidRDefault="00175689" w:rsidP="00415B28">
            <w:pPr>
              <w:spacing w:after="0" w:line="240" w:lineRule="auto"/>
              <w:rPr>
                <w:b/>
                <w:bCs/>
                <w:color w:val="000000"/>
                <w:sz w:val="18"/>
                <w:szCs w:val="18"/>
              </w:rPr>
            </w:pP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0EA3FEDE" w14:textId="77777777" w:rsidR="00175689" w:rsidRPr="00D76F9C" w:rsidRDefault="00175689" w:rsidP="00415B28">
            <w:pPr>
              <w:spacing w:after="0" w:line="240" w:lineRule="auto"/>
              <w:rPr>
                <w:b/>
                <w:bCs/>
                <w:color w:val="000000"/>
                <w:sz w:val="18"/>
                <w:szCs w:val="18"/>
              </w:rPr>
            </w:pPr>
          </w:p>
        </w:tc>
        <w:tc>
          <w:tcPr>
            <w:tcW w:w="375" w:type="dxa"/>
            <w:tcBorders>
              <w:top w:val="single" w:sz="4" w:space="0" w:color="auto"/>
              <w:left w:val="nil"/>
              <w:bottom w:val="single" w:sz="4" w:space="0" w:color="auto"/>
              <w:right w:val="single" w:sz="4" w:space="0" w:color="auto"/>
            </w:tcBorders>
            <w:shd w:val="clear" w:color="auto" w:fill="auto"/>
            <w:noWrap/>
            <w:vAlign w:val="center"/>
          </w:tcPr>
          <w:p w14:paraId="44753223" w14:textId="77777777" w:rsidR="00175689" w:rsidRPr="00D76F9C" w:rsidRDefault="00175689" w:rsidP="00415B28">
            <w:pPr>
              <w:spacing w:after="0" w:line="240" w:lineRule="auto"/>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5F1137FD" w14:textId="745B292E" w:rsidR="00175689" w:rsidRPr="00D76F9C" w:rsidRDefault="00E63547"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329DC57E" w14:textId="77777777" w:rsidR="00175689" w:rsidRPr="00D76F9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69AE51C8" w14:textId="77777777" w:rsidR="00175689" w:rsidRPr="00D76F9C" w:rsidRDefault="00175689" w:rsidP="00415B28">
            <w:pPr>
              <w:spacing w:after="0" w:line="240" w:lineRule="auto"/>
              <w:rPr>
                <w:b/>
                <w:bCs/>
                <w:color w:val="000000"/>
                <w:sz w:val="18"/>
                <w:szCs w:val="18"/>
              </w:rPr>
            </w:pPr>
          </w:p>
        </w:tc>
        <w:tc>
          <w:tcPr>
            <w:tcW w:w="376" w:type="dxa"/>
            <w:tcBorders>
              <w:top w:val="single" w:sz="4" w:space="0" w:color="auto"/>
              <w:left w:val="nil"/>
              <w:bottom w:val="single" w:sz="4" w:space="0" w:color="auto"/>
              <w:right w:val="single" w:sz="4" w:space="0" w:color="auto"/>
            </w:tcBorders>
            <w:shd w:val="clear" w:color="auto" w:fill="auto"/>
            <w:noWrap/>
            <w:vAlign w:val="center"/>
          </w:tcPr>
          <w:p w14:paraId="5F844BC8" w14:textId="77777777" w:rsidR="00175689" w:rsidRPr="00D76F9C" w:rsidRDefault="00175689" w:rsidP="00415B28">
            <w:pPr>
              <w:spacing w:after="0" w:line="240" w:lineRule="auto"/>
              <w:jc w:val="center"/>
              <w:rPr>
                <w:b/>
                <w:bCs/>
                <w:color w:val="000000"/>
                <w:sz w:val="18"/>
                <w:szCs w:val="18"/>
              </w:rPr>
            </w:pPr>
          </w:p>
        </w:tc>
        <w:tc>
          <w:tcPr>
            <w:tcW w:w="468" w:type="dxa"/>
            <w:tcBorders>
              <w:top w:val="single" w:sz="4" w:space="0" w:color="auto"/>
              <w:left w:val="nil"/>
              <w:bottom w:val="single" w:sz="4" w:space="0" w:color="auto"/>
              <w:right w:val="single" w:sz="4" w:space="0" w:color="auto"/>
            </w:tcBorders>
            <w:shd w:val="clear" w:color="auto" w:fill="D99694"/>
            <w:noWrap/>
            <w:vAlign w:val="center"/>
          </w:tcPr>
          <w:p w14:paraId="715C2799" w14:textId="6847BA53" w:rsidR="00175689" w:rsidRPr="00D76F9C" w:rsidRDefault="00E63547" w:rsidP="00415B28">
            <w:pPr>
              <w:spacing w:after="0" w:line="240" w:lineRule="auto"/>
              <w:rPr>
                <w:b/>
                <w:bCs/>
                <w:color w:val="000000"/>
                <w:sz w:val="18"/>
                <w:szCs w:val="18"/>
              </w:rPr>
            </w:pPr>
            <w:r>
              <w:rPr>
                <w:b/>
                <w:bCs/>
                <w:color w:val="000000"/>
                <w:sz w:val="18"/>
                <w:szCs w:val="18"/>
              </w:rPr>
              <w:t>R</w:t>
            </w: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776800A8" w14:textId="77777777" w:rsidR="00175689" w:rsidRPr="00D76F9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6BEE1268" w14:textId="77777777" w:rsidR="00175689" w:rsidRPr="00D76F9C" w:rsidRDefault="00175689" w:rsidP="00415B28">
            <w:pPr>
              <w:spacing w:after="0" w:line="240" w:lineRule="auto"/>
              <w:rPr>
                <w:b/>
                <w:bCs/>
                <w:color w:val="000000"/>
                <w:sz w:val="18"/>
                <w:szCs w:val="18"/>
              </w:rPr>
            </w:pPr>
          </w:p>
        </w:tc>
        <w:tc>
          <w:tcPr>
            <w:tcW w:w="372" w:type="dxa"/>
            <w:tcBorders>
              <w:top w:val="single" w:sz="4" w:space="0" w:color="auto"/>
              <w:left w:val="nil"/>
              <w:bottom w:val="single" w:sz="4" w:space="0" w:color="auto"/>
              <w:right w:val="single" w:sz="4" w:space="0" w:color="auto"/>
            </w:tcBorders>
            <w:shd w:val="clear" w:color="auto" w:fill="D99694"/>
            <w:noWrap/>
            <w:vAlign w:val="center"/>
          </w:tcPr>
          <w:p w14:paraId="274516D8" w14:textId="22C402A8" w:rsidR="00175689" w:rsidRPr="00D76F9C" w:rsidRDefault="00E63547" w:rsidP="00415B28">
            <w:pPr>
              <w:spacing w:after="0" w:line="240" w:lineRule="auto"/>
              <w:rPr>
                <w:b/>
                <w:bCs/>
                <w:color w:val="000000"/>
                <w:sz w:val="18"/>
                <w:szCs w:val="18"/>
              </w:rPr>
            </w:pPr>
            <w:r>
              <w:rPr>
                <w:b/>
                <w:bCs/>
                <w:color w:val="000000"/>
                <w:sz w:val="18"/>
                <w:szCs w:val="18"/>
              </w:rPr>
              <w:t>R</w:t>
            </w:r>
          </w:p>
        </w:tc>
      </w:tr>
    </w:tbl>
    <w:p w14:paraId="700C4A51" w14:textId="77777777" w:rsidR="00175689" w:rsidRDefault="00175689" w:rsidP="00175689"/>
    <w:p w14:paraId="0E49419D" w14:textId="77777777" w:rsidR="00A62147" w:rsidRDefault="00A62147" w:rsidP="00175689"/>
    <w:p w14:paraId="2B66CCB9" w14:textId="77777777" w:rsidR="00A62147" w:rsidRDefault="00A62147" w:rsidP="00175689"/>
    <w:p w14:paraId="21C8A0E3" w14:textId="77777777" w:rsidR="00A62147" w:rsidRDefault="00A62147" w:rsidP="00175689"/>
    <w:p w14:paraId="28D0E97A" w14:textId="77777777" w:rsidR="00A62147" w:rsidRDefault="00A62147" w:rsidP="00175689"/>
    <w:p w14:paraId="7199ABF5" w14:textId="77777777" w:rsidR="00A62147" w:rsidRDefault="00A62147" w:rsidP="00175689"/>
    <w:p w14:paraId="2F66D083" w14:textId="77777777" w:rsidR="00A62147" w:rsidRDefault="00A62147" w:rsidP="00175689"/>
    <w:p w14:paraId="165A0AD5" w14:textId="77777777" w:rsidR="00A62147" w:rsidRDefault="00A62147" w:rsidP="00175689"/>
    <w:p w14:paraId="175E4DAC" w14:textId="77777777" w:rsidR="00A62147" w:rsidRDefault="00A62147" w:rsidP="00175689"/>
    <w:p w14:paraId="17D66D1E" w14:textId="77777777" w:rsidR="00A62147" w:rsidRDefault="00A62147" w:rsidP="00175689"/>
    <w:p w14:paraId="1824E321" w14:textId="77777777" w:rsidR="00A62147" w:rsidRDefault="00A62147" w:rsidP="00175689"/>
    <w:p w14:paraId="5A2A2A8D" w14:textId="77777777" w:rsidR="00A62147" w:rsidRDefault="00A62147" w:rsidP="00175689"/>
    <w:p w14:paraId="1EAF3A97" w14:textId="77777777" w:rsidR="00A62147" w:rsidRDefault="00A62147" w:rsidP="00175689"/>
    <w:p w14:paraId="436784C1" w14:textId="77777777" w:rsidR="00A62147" w:rsidRDefault="00A62147" w:rsidP="00175689"/>
    <w:p w14:paraId="755CA80B" w14:textId="77777777" w:rsidR="00A62147" w:rsidRDefault="00A62147" w:rsidP="00175689"/>
    <w:p w14:paraId="7EA79638" w14:textId="77777777" w:rsidR="00A62147" w:rsidRDefault="00A62147" w:rsidP="00175689"/>
    <w:p w14:paraId="7E3AD5A8" w14:textId="77777777" w:rsidR="00A62147" w:rsidRDefault="00A62147" w:rsidP="00175689"/>
    <w:p w14:paraId="32237CDA" w14:textId="77777777" w:rsidR="00A62147" w:rsidRDefault="00A62147" w:rsidP="00175689"/>
    <w:p w14:paraId="3A2D90F0" w14:textId="77777777" w:rsidR="00C43F15" w:rsidRDefault="00C43F15" w:rsidP="00175689">
      <w:pPr>
        <w:sectPr w:rsidR="00C43F15" w:rsidSect="00D2541A">
          <w:footerReference w:type="default" r:id="rId23"/>
          <w:pgSz w:w="11906" w:h="16838"/>
          <w:pgMar w:top="1412" w:right="1412" w:bottom="1412" w:left="1412" w:header="709" w:footer="1021" w:gutter="0"/>
          <w:lnNumType w:countBy="1"/>
          <w:cols w:space="708"/>
          <w:docGrid w:linePitch="360"/>
        </w:sectPr>
      </w:pPr>
    </w:p>
    <w:p w14:paraId="3776E7A1" w14:textId="77777777" w:rsidR="00A62147" w:rsidRDefault="00A62147" w:rsidP="00A62147"/>
    <w:p w14:paraId="67A0CB2D" w14:textId="77777777" w:rsidR="00A62147" w:rsidRDefault="00A62147" w:rsidP="00A62147">
      <w:pPr>
        <w:pStyle w:val="Heading2"/>
      </w:pPr>
      <w:bookmarkStart w:id="26" w:name="_Toc442303847"/>
      <w:r>
        <w:t>Execution arrangements</w:t>
      </w:r>
      <w:bookmarkEnd w:id="26"/>
    </w:p>
    <w:p w14:paraId="1E9F6653" w14:textId="1297680C" w:rsidR="00A62147" w:rsidRDefault="00A62147" w:rsidP="00A62147">
      <w:pPr>
        <w:rPr>
          <w:color w:val="000000" w:themeColor="text1"/>
        </w:rPr>
      </w:pPr>
    </w:p>
    <w:p w14:paraId="0FE81A6D" w14:textId="57AC5BFB" w:rsidR="00291A4F" w:rsidRDefault="00291A4F" w:rsidP="00291A4F">
      <w:pPr>
        <w:rPr>
          <w:color w:val="000000" w:themeColor="text1"/>
        </w:rPr>
      </w:pPr>
      <w:r>
        <w:rPr>
          <w:color w:val="000000" w:themeColor="text1"/>
        </w:rPr>
        <w:t>The involvement of partners in each component and activity is based on their expressed commitments to the project. Leadership of Components and Activities will be confirmed by the General Assembly or amended at the start of the project.  Figure A16.x shows the provisional organogram used to prepare the project, subject to this confirmation.</w:t>
      </w:r>
    </w:p>
    <w:p w14:paraId="564A92E6" w14:textId="77777777" w:rsidR="00291A4F" w:rsidRDefault="00291A4F" w:rsidP="00291A4F">
      <w:pPr>
        <w:rPr>
          <w:color w:val="000000" w:themeColor="text1"/>
        </w:rPr>
      </w:pPr>
    </w:p>
    <w:p w14:paraId="05F27074" w14:textId="0A2681B8" w:rsidR="00291A4F" w:rsidRDefault="00291A4F" w:rsidP="00291A4F">
      <w:pPr>
        <w:rPr>
          <w:color w:val="000000" w:themeColor="text1"/>
        </w:rPr>
      </w:pPr>
      <w:r w:rsidRPr="00291A4F">
        <w:rPr>
          <w:noProof/>
          <w:lang w:eastAsia="en-GB"/>
        </w:rPr>
        <w:drawing>
          <wp:inline distT="0" distB="0" distL="0" distR="0" wp14:anchorId="44031E6D" wp14:editId="6600A038">
            <wp:extent cx="5767070" cy="2233475"/>
            <wp:effectExtent l="0" t="0" r="508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7070" cy="2233475"/>
                    </a:xfrm>
                    <a:prstGeom prst="rect">
                      <a:avLst/>
                    </a:prstGeom>
                    <a:noFill/>
                    <a:ln>
                      <a:noFill/>
                    </a:ln>
                  </pic:spPr>
                </pic:pic>
              </a:graphicData>
            </a:graphic>
          </wp:inline>
        </w:drawing>
      </w:r>
    </w:p>
    <w:p w14:paraId="40D0BF06" w14:textId="6C3B01FD" w:rsidR="00291A4F" w:rsidRDefault="00291A4F" w:rsidP="00291A4F">
      <w:pPr>
        <w:pStyle w:val="Caption"/>
      </w:pPr>
      <w:r w:rsidRPr="00C83527">
        <w:rPr>
          <w:b/>
        </w:rPr>
        <w:t>Figure A1</w:t>
      </w:r>
      <w:r>
        <w:rPr>
          <w:b/>
        </w:rPr>
        <w:t>6</w:t>
      </w:r>
      <w:r w:rsidRPr="00C83527">
        <w:rPr>
          <w:b/>
        </w:rPr>
        <w:t>.</w:t>
      </w:r>
      <w:r w:rsidR="009A578C">
        <w:rPr>
          <w:b/>
        </w:rPr>
        <w:t>6</w:t>
      </w:r>
      <w:r w:rsidRPr="00C83527">
        <w:rPr>
          <w:b/>
        </w:rPr>
        <w:t>:</w:t>
      </w:r>
      <w:r>
        <w:t xml:space="preserve">  Organogram of Component 2.</w:t>
      </w:r>
    </w:p>
    <w:p w14:paraId="557F4E35" w14:textId="77777777" w:rsidR="00291A4F" w:rsidRPr="00343423" w:rsidRDefault="00291A4F" w:rsidP="00A62147">
      <w:pPr>
        <w:rPr>
          <w:color w:val="000000" w:themeColor="text1"/>
        </w:rPr>
      </w:pPr>
    </w:p>
    <w:p w14:paraId="642543FC" w14:textId="77777777" w:rsidR="00A62147" w:rsidRDefault="00A62147" w:rsidP="00A62147">
      <w:pPr>
        <w:pStyle w:val="Heading2"/>
      </w:pPr>
      <w:bookmarkStart w:id="27" w:name="_Toc442303848"/>
      <w:r>
        <w:t>Component M&amp;E</w:t>
      </w:r>
      <w:bookmarkEnd w:id="27"/>
    </w:p>
    <w:p w14:paraId="04ADFF7B" w14:textId="77777777" w:rsidR="00A62147" w:rsidRDefault="00A62147" w:rsidP="00A62147"/>
    <w:p w14:paraId="4FE50505" w14:textId="0EDA537B" w:rsidR="00981AFF" w:rsidRDefault="00981AFF" w:rsidP="009A578C">
      <w:r w:rsidRPr="000F700E">
        <w:t xml:space="preserve">The day-to-day monitoring of the activities of Component </w:t>
      </w:r>
      <w:r w:rsidR="004106B2" w:rsidRPr="009A578C">
        <w:t>2</w:t>
      </w:r>
      <w:r w:rsidR="004106B2" w:rsidRPr="007A3350">
        <w:rPr>
          <w:color w:val="FF0000"/>
        </w:rPr>
        <w:t xml:space="preserve"> </w:t>
      </w:r>
      <w:r w:rsidRPr="000F700E">
        <w:t xml:space="preserve">of the </w:t>
      </w:r>
      <w:r>
        <w:t>INMS</w:t>
      </w:r>
      <w:r w:rsidRPr="000F700E">
        <w:t xml:space="preserve"> Project will be conducted by </w:t>
      </w:r>
      <w:r w:rsidR="009A578C">
        <w:t>NERC</w:t>
      </w:r>
      <w:r w:rsidRPr="000F700E">
        <w:t>,</w:t>
      </w:r>
      <w:r w:rsidR="004106B2">
        <w:t xml:space="preserve"> in collaboration with the Component, Activity and Task Leaders, </w:t>
      </w:r>
      <w:r>
        <w:t>under the supervision of</w:t>
      </w:r>
      <w:r w:rsidRPr="000F700E">
        <w:t xml:space="preserve"> the Project Manager. </w:t>
      </w:r>
      <w:r w:rsidR="009A578C">
        <w:t xml:space="preserve">NERC </w:t>
      </w:r>
      <w:r w:rsidRPr="000F700E">
        <w:t xml:space="preserve">will </w:t>
      </w:r>
      <w:r>
        <w:t>be responsible and co-ordinate</w:t>
      </w:r>
      <w:r w:rsidRPr="000F700E">
        <w:t xml:space="preserve"> the </w:t>
      </w:r>
      <w:r>
        <w:t xml:space="preserve">delivery of the monitoring and </w:t>
      </w:r>
      <w:r w:rsidRPr="000F700E">
        <w:t>evaluation repor</w:t>
      </w:r>
      <w:r>
        <w:t>ts required by UNEP and the GEF in accordance with agreed dates, in addition to the internal needs of progress reporting to the Project Board and General Assembly.</w:t>
      </w:r>
    </w:p>
    <w:p w14:paraId="1FFE7539" w14:textId="26C7E968" w:rsidR="00981AFF" w:rsidRDefault="00981AFF" w:rsidP="009A578C">
      <w:r>
        <w:t xml:space="preserve">The overall expectations of Component </w:t>
      </w:r>
      <w:r w:rsidR="004106B2" w:rsidRPr="009A578C">
        <w:t>2</w:t>
      </w:r>
      <w:r w:rsidRPr="009A578C">
        <w:t xml:space="preserve"> is</w:t>
      </w:r>
      <w:r>
        <w:t xml:space="preserve"> presented in the annex to this component with indicators and targets for delivery. These indicators will also be used to establish mid-term and end-of-project targets to enable the relevant external project evaluations to be completed. The proposed mi</w:t>
      </w:r>
      <w:r w:rsidR="004106B2">
        <w:t>d</w:t>
      </w:r>
      <w:r>
        <w:t>-term and end-of-project t</w:t>
      </w:r>
      <w:r w:rsidR="009A578C">
        <w:t>argets are given below in Table A16.10</w:t>
      </w:r>
      <w:r>
        <w:t>.</w:t>
      </w:r>
    </w:p>
    <w:p w14:paraId="7D562206" w14:textId="5E51F4B3" w:rsidR="009A578C" w:rsidRDefault="009A578C">
      <w:r>
        <w:br w:type="page"/>
      </w:r>
    </w:p>
    <w:p w14:paraId="09384DE9" w14:textId="3C87C4B0" w:rsidR="009A578C" w:rsidRDefault="009A578C" w:rsidP="009A578C">
      <w:pPr>
        <w:pStyle w:val="Caption"/>
      </w:pPr>
      <w:r>
        <w:rPr>
          <w:b/>
        </w:rPr>
        <w:lastRenderedPageBreak/>
        <w:t xml:space="preserve">Table </w:t>
      </w:r>
      <w:r w:rsidRPr="00C83527">
        <w:rPr>
          <w:b/>
        </w:rPr>
        <w:t>A1</w:t>
      </w:r>
      <w:r>
        <w:rPr>
          <w:b/>
        </w:rPr>
        <w:t>6</w:t>
      </w:r>
      <w:r w:rsidRPr="00C83527">
        <w:rPr>
          <w:b/>
        </w:rPr>
        <w:t>.</w:t>
      </w:r>
      <w:r>
        <w:rPr>
          <w:b/>
        </w:rPr>
        <w:t>10</w:t>
      </w:r>
      <w:r w:rsidRPr="00C83527">
        <w:rPr>
          <w:b/>
        </w:rPr>
        <w:t>:</w:t>
      </w:r>
      <w:r>
        <w:t xml:space="preserve">  Indicators to support Monitoring and Evaluation of Component 2.  </w:t>
      </w:r>
      <w:r w:rsidRPr="009A578C">
        <w:rPr>
          <w:b/>
        </w:rPr>
        <w:t xml:space="preserve">(Table under development but included </w:t>
      </w:r>
      <w:r>
        <w:rPr>
          <w:b/>
        </w:rPr>
        <w:t xml:space="preserve">here </w:t>
      </w:r>
      <w:r w:rsidRPr="009A578C">
        <w:rPr>
          <w:b/>
        </w:rPr>
        <w:t>to show the flavour of what is required and being developed)</w:t>
      </w:r>
    </w:p>
    <w:tbl>
      <w:tblPr>
        <w:tblW w:w="97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127"/>
        <w:gridCol w:w="1329"/>
        <w:gridCol w:w="1728"/>
        <w:gridCol w:w="1728"/>
      </w:tblGrid>
      <w:tr w:rsidR="00981AFF" w:rsidRPr="009A578C" w14:paraId="28A1C113" w14:textId="77777777" w:rsidTr="004106B2">
        <w:trPr>
          <w:cantSplit/>
          <w:tblHeader/>
        </w:trPr>
        <w:tc>
          <w:tcPr>
            <w:tcW w:w="2835" w:type="dxa"/>
            <w:shd w:val="clear" w:color="auto" w:fill="D9D9D9"/>
          </w:tcPr>
          <w:p w14:paraId="7CEB00D1" w14:textId="77777777" w:rsidR="00981AFF" w:rsidRPr="009A578C" w:rsidRDefault="00981AFF" w:rsidP="004106B2">
            <w:pPr>
              <w:spacing w:after="240"/>
              <w:jc w:val="both"/>
              <w:rPr>
                <w:rFonts w:ascii="Calibri" w:hAnsi="Calibri" w:cs="Calibri"/>
                <w:b/>
                <w:bCs/>
                <w:sz w:val="16"/>
                <w:szCs w:val="20"/>
              </w:rPr>
            </w:pPr>
            <w:r w:rsidRPr="009A578C">
              <w:rPr>
                <w:rFonts w:ascii="Calibri" w:hAnsi="Calibri" w:cs="Calibri"/>
                <w:b/>
                <w:bCs/>
                <w:sz w:val="16"/>
                <w:szCs w:val="20"/>
              </w:rPr>
              <w:t>Project objective Outcomes &amp; Outputs</w:t>
            </w:r>
          </w:p>
        </w:tc>
        <w:tc>
          <w:tcPr>
            <w:tcW w:w="2127" w:type="dxa"/>
            <w:shd w:val="clear" w:color="auto" w:fill="D9D9D9"/>
          </w:tcPr>
          <w:p w14:paraId="5E8B3D72" w14:textId="77777777" w:rsidR="00981AFF" w:rsidRPr="009A578C" w:rsidRDefault="00981AFF" w:rsidP="004106B2">
            <w:pPr>
              <w:spacing w:after="240"/>
              <w:jc w:val="both"/>
              <w:rPr>
                <w:rFonts w:ascii="Calibri" w:hAnsi="Calibri" w:cs="Calibri"/>
                <w:b/>
                <w:bCs/>
                <w:sz w:val="16"/>
                <w:szCs w:val="20"/>
              </w:rPr>
            </w:pPr>
            <w:r w:rsidRPr="009A578C">
              <w:rPr>
                <w:rFonts w:ascii="Calibri" w:hAnsi="Calibri" w:cs="Calibri"/>
                <w:b/>
                <w:bCs/>
                <w:sz w:val="16"/>
                <w:szCs w:val="20"/>
              </w:rPr>
              <w:t>Description of indicator</w:t>
            </w:r>
          </w:p>
        </w:tc>
        <w:tc>
          <w:tcPr>
            <w:tcW w:w="1329" w:type="dxa"/>
            <w:shd w:val="clear" w:color="auto" w:fill="D9D9D9"/>
          </w:tcPr>
          <w:p w14:paraId="1EC1316E" w14:textId="77777777" w:rsidR="00981AFF" w:rsidRPr="009A578C" w:rsidRDefault="00981AFF" w:rsidP="004106B2">
            <w:pPr>
              <w:spacing w:after="240"/>
              <w:jc w:val="both"/>
              <w:rPr>
                <w:rFonts w:ascii="Calibri" w:hAnsi="Calibri" w:cs="Calibri"/>
                <w:b/>
                <w:bCs/>
                <w:sz w:val="16"/>
                <w:szCs w:val="20"/>
              </w:rPr>
            </w:pPr>
            <w:r w:rsidRPr="009A578C">
              <w:rPr>
                <w:rFonts w:ascii="Calibri" w:hAnsi="Calibri" w:cs="Calibri"/>
                <w:b/>
                <w:bCs/>
                <w:sz w:val="16"/>
                <w:szCs w:val="20"/>
              </w:rPr>
              <w:t>Baseline level</w:t>
            </w:r>
          </w:p>
        </w:tc>
        <w:tc>
          <w:tcPr>
            <w:tcW w:w="1728" w:type="dxa"/>
            <w:shd w:val="clear" w:color="auto" w:fill="D9D9D9"/>
          </w:tcPr>
          <w:p w14:paraId="74921BD4" w14:textId="77777777" w:rsidR="00981AFF" w:rsidRPr="009A578C" w:rsidRDefault="00981AFF" w:rsidP="004106B2">
            <w:pPr>
              <w:spacing w:after="240"/>
              <w:jc w:val="both"/>
              <w:rPr>
                <w:rFonts w:ascii="Calibri" w:hAnsi="Calibri" w:cs="Calibri"/>
                <w:b/>
                <w:bCs/>
                <w:sz w:val="16"/>
                <w:szCs w:val="20"/>
              </w:rPr>
            </w:pPr>
            <w:r w:rsidRPr="009A578C">
              <w:rPr>
                <w:rFonts w:ascii="Calibri" w:hAnsi="Calibri" w:cs="Calibri"/>
                <w:b/>
                <w:bCs/>
                <w:sz w:val="16"/>
                <w:szCs w:val="20"/>
              </w:rPr>
              <w:t>Mid-term target</w:t>
            </w:r>
          </w:p>
        </w:tc>
        <w:tc>
          <w:tcPr>
            <w:tcW w:w="1728" w:type="dxa"/>
            <w:shd w:val="clear" w:color="auto" w:fill="D9D9D9"/>
          </w:tcPr>
          <w:p w14:paraId="2442902C" w14:textId="77777777" w:rsidR="00981AFF" w:rsidRPr="009A578C" w:rsidRDefault="00981AFF" w:rsidP="004106B2">
            <w:pPr>
              <w:spacing w:after="240"/>
              <w:jc w:val="both"/>
              <w:rPr>
                <w:rFonts w:ascii="Calibri" w:hAnsi="Calibri" w:cs="Calibri"/>
                <w:b/>
                <w:bCs/>
                <w:sz w:val="16"/>
                <w:szCs w:val="20"/>
              </w:rPr>
            </w:pPr>
            <w:r w:rsidRPr="009A578C">
              <w:rPr>
                <w:rFonts w:ascii="Calibri" w:hAnsi="Calibri" w:cs="Calibri"/>
                <w:b/>
                <w:bCs/>
                <w:sz w:val="16"/>
                <w:szCs w:val="20"/>
              </w:rPr>
              <w:t>End-of-project target</w:t>
            </w:r>
          </w:p>
        </w:tc>
      </w:tr>
      <w:tr w:rsidR="00981AFF" w:rsidRPr="009A578C" w14:paraId="159B5FA3" w14:textId="77777777" w:rsidTr="004106B2">
        <w:trPr>
          <w:cantSplit/>
          <w:trHeight w:val="266"/>
        </w:trPr>
        <w:tc>
          <w:tcPr>
            <w:tcW w:w="9747" w:type="dxa"/>
            <w:gridSpan w:val="5"/>
            <w:shd w:val="clear" w:color="auto" w:fill="auto"/>
            <w:vAlign w:val="center"/>
          </w:tcPr>
          <w:p w14:paraId="6078CE9E" w14:textId="77777777" w:rsidR="00981AFF" w:rsidRPr="009A578C" w:rsidRDefault="00981AFF" w:rsidP="004106B2">
            <w:pPr>
              <w:spacing w:after="240"/>
              <w:jc w:val="both"/>
              <w:rPr>
                <w:rFonts w:ascii="Calibri" w:hAnsi="Calibri" w:cs="Calibri"/>
                <w:b/>
                <w:bCs/>
                <w:sz w:val="16"/>
                <w:szCs w:val="20"/>
              </w:rPr>
            </w:pPr>
            <w:r w:rsidRPr="009A578C">
              <w:rPr>
                <w:rFonts w:ascii="Calibri" w:hAnsi="Calibri" w:cs="Calibri"/>
                <w:b/>
                <w:bCs/>
                <w:sz w:val="16"/>
                <w:szCs w:val="20"/>
              </w:rPr>
              <w:t>Activity 2.1 Quantifying N flows, threats and benefits at global and regional scales</w:t>
            </w:r>
          </w:p>
        </w:tc>
      </w:tr>
      <w:tr w:rsidR="00981AFF" w:rsidRPr="009A578C" w14:paraId="7309B824" w14:textId="77777777" w:rsidTr="004106B2">
        <w:trPr>
          <w:cantSplit/>
          <w:trHeight w:val="780"/>
        </w:trPr>
        <w:tc>
          <w:tcPr>
            <w:tcW w:w="2835" w:type="dxa"/>
            <w:shd w:val="clear" w:color="auto" w:fill="auto"/>
          </w:tcPr>
          <w:p w14:paraId="04B0BAB3"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2.1.1 Database of shared input, model outcomes &amp; access to measurements</w:t>
            </w:r>
          </w:p>
        </w:tc>
        <w:tc>
          <w:tcPr>
            <w:tcW w:w="2127" w:type="dxa"/>
            <w:shd w:val="clear" w:color="auto" w:fill="auto"/>
          </w:tcPr>
          <w:p w14:paraId="5BF09052" w14:textId="36DD8F0D" w:rsidR="00801504" w:rsidRPr="009A578C" w:rsidRDefault="00801504" w:rsidP="004106B2">
            <w:pPr>
              <w:spacing w:after="240"/>
              <w:jc w:val="both"/>
              <w:rPr>
                <w:rFonts w:ascii="Calibri" w:hAnsi="Calibri" w:cs="Calibri"/>
                <w:sz w:val="16"/>
                <w:szCs w:val="20"/>
              </w:rPr>
            </w:pPr>
            <w:r w:rsidRPr="009A578C">
              <w:rPr>
                <w:rFonts w:ascii="Calibri" w:hAnsi="Calibri" w:cs="Calibri"/>
                <w:sz w:val="16"/>
                <w:szCs w:val="20"/>
              </w:rPr>
              <w:t>INMS data plan (internal and external) developed, agreed and implemented.</w:t>
            </w:r>
          </w:p>
          <w:p w14:paraId="0CEC92B9" w14:textId="041811FF" w:rsidR="00981AFF" w:rsidRPr="009A578C" w:rsidRDefault="00801504" w:rsidP="004106B2">
            <w:pPr>
              <w:spacing w:after="240"/>
              <w:jc w:val="both"/>
              <w:rPr>
                <w:rFonts w:ascii="Calibri" w:hAnsi="Calibri" w:cs="Calibri"/>
                <w:sz w:val="16"/>
                <w:szCs w:val="20"/>
              </w:rPr>
            </w:pPr>
            <w:r w:rsidRPr="009A578C">
              <w:rPr>
                <w:rFonts w:ascii="Calibri" w:hAnsi="Calibri" w:cs="Calibri"/>
                <w:sz w:val="16"/>
                <w:szCs w:val="20"/>
              </w:rPr>
              <w:t>Internal</w:t>
            </w:r>
            <w:r w:rsidR="00A25B3B" w:rsidRPr="009A578C">
              <w:rPr>
                <w:rFonts w:ascii="Calibri" w:hAnsi="Calibri" w:cs="Calibri"/>
                <w:sz w:val="16"/>
                <w:szCs w:val="20"/>
              </w:rPr>
              <w:t xml:space="preserve"> INMS</w:t>
            </w:r>
            <w:r w:rsidRPr="009A578C">
              <w:rPr>
                <w:rFonts w:ascii="Calibri" w:hAnsi="Calibri" w:cs="Calibri"/>
                <w:sz w:val="16"/>
                <w:szCs w:val="20"/>
              </w:rPr>
              <w:t xml:space="preserve"> database established and training provided.</w:t>
            </w:r>
          </w:p>
          <w:p w14:paraId="0AF70746" w14:textId="69D831A5" w:rsidR="00A25B3B" w:rsidRPr="009A578C" w:rsidRDefault="00A25B3B" w:rsidP="00A25B3B">
            <w:pPr>
              <w:spacing w:after="240"/>
              <w:jc w:val="both"/>
              <w:rPr>
                <w:rFonts w:ascii="Calibri" w:hAnsi="Calibri" w:cs="Calibri"/>
                <w:sz w:val="16"/>
                <w:szCs w:val="20"/>
              </w:rPr>
            </w:pPr>
            <w:r w:rsidRPr="009A578C">
              <w:rPr>
                <w:rFonts w:ascii="Calibri" w:hAnsi="Calibri" w:cs="Calibri"/>
                <w:sz w:val="16"/>
                <w:szCs w:val="20"/>
              </w:rPr>
              <w:t xml:space="preserve">Linking of external data in ENCORE data cluster, where possible. </w:t>
            </w:r>
          </w:p>
        </w:tc>
        <w:tc>
          <w:tcPr>
            <w:tcW w:w="1329" w:type="dxa"/>
            <w:shd w:val="clear" w:color="auto" w:fill="auto"/>
          </w:tcPr>
          <w:p w14:paraId="337284CA" w14:textId="77777777" w:rsidR="00981AFF" w:rsidRPr="009A578C" w:rsidRDefault="00801504" w:rsidP="004106B2">
            <w:pPr>
              <w:spacing w:after="240"/>
              <w:jc w:val="both"/>
              <w:rPr>
                <w:rFonts w:ascii="Calibri" w:hAnsi="Calibri" w:cs="Calibri"/>
                <w:sz w:val="16"/>
                <w:szCs w:val="20"/>
              </w:rPr>
            </w:pPr>
            <w:r w:rsidRPr="009A578C">
              <w:rPr>
                <w:rFonts w:ascii="Calibri" w:hAnsi="Calibri" w:cs="Calibri"/>
                <w:sz w:val="16"/>
                <w:szCs w:val="20"/>
              </w:rPr>
              <w:t>0</w:t>
            </w:r>
          </w:p>
          <w:p w14:paraId="4B5D16D1" w14:textId="77777777" w:rsidR="007E5A02" w:rsidRPr="009A578C" w:rsidRDefault="007E5A02" w:rsidP="004106B2">
            <w:pPr>
              <w:spacing w:after="240"/>
              <w:jc w:val="both"/>
              <w:rPr>
                <w:rFonts w:ascii="Calibri" w:hAnsi="Calibri" w:cs="Calibri"/>
                <w:sz w:val="16"/>
                <w:szCs w:val="20"/>
              </w:rPr>
            </w:pPr>
          </w:p>
          <w:p w14:paraId="4D413D2C" w14:textId="77777777" w:rsidR="007E5A02" w:rsidRPr="009A578C" w:rsidRDefault="007E5A02" w:rsidP="004106B2">
            <w:pPr>
              <w:spacing w:after="240"/>
              <w:jc w:val="both"/>
              <w:rPr>
                <w:rFonts w:ascii="Calibri" w:hAnsi="Calibri" w:cs="Calibri"/>
                <w:sz w:val="16"/>
                <w:szCs w:val="20"/>
              </w:rPr>
            </w:pPr>
            <w:r w:rsidRPr="009A578C">
              <w:rPr>
                <w:rFonts w:ascii="Calibri" w:hAnsi="Calibri" w:cs="Calibri"/>
                <w:sz w:val="16"/>
                <w:szCs w:val="20"/>
              </w:rPr>
              <w:t>0</w:t>
            </w:r>
          </w:p>
          <w:p w14:paraId="5AD49461" w14:textId="77777777" w:rsidR="007E5A02" w:rsidRPr="009A578C" w:rsidRDefault="007E5A02" w:rsidP="004106B2">
            <w:pPr>
              <w:spacing w:after="240"/>
              <w:jc w:val="both"/>
              <w:rPr>
                <w:rFonts w:ascii="Calibri" w:hAnsi="Calibri" w:cs="Calibri"/>
                <w:sz w:val="16"/>
                <w:szCs w:val="20"/>
              </w:rPr>
            </w:pPr>
          </w:p>
          <w:p w14:paraId="33D550F2" w14:textId="77777777" w:rsidR="007E5A02" w:rsidRPr="009A578C" w:rsidRDefault="007E5A02" w:rsidP="004106B2">
            <w:pPr>
              <w:spacing w:after="240"/>
              <w:jc w:val="both"/>
              <w:rPr>
                <w:rFonts w:ascii="Calibri" w:hAnsi="Calibri" w:cs="Calibri"/>
                <w:sz w:val="16"/>
                <w:szCs w:val="20"/>
              </w:rPr>
            </w:pPr>
          </w:p>
          <w:p w14:paraId="198F2849" w14:textId="72F41FC4" w:rsidR="007E5A02" w:rsidRPr="009A578C" w:rsidRDefault="007E5A02" w:rsidP="004106B2">
            <w:pPr>
              <w:spacing w:after="240"/>
              <w:jc w:val="both"/>
              <w:rPr>
                <w:rFonts w:ascii="Calibri" w:hAnsi="Calibri" w:cs="Calibri"/>
                <w:sz w:val="16"/>
                <w:szCs w:val="20"/>
              </w:rPr>
            </w:pPr>
            <w:r w:rsidRPr="009A578C">
              <w:rPr>
                <w:rFonts w:ascii="Calibri" w:hAnsi="Calibri" w:cs="Calibri"/>
                <w:sz w:val="16"/>
                <w:szCs w:val="20"/>
              </w:rPr>
              <w:t xml:space="preserve">ENCORE data cluster already linked to project data (EU FP6 NEU &amp; EU FP7 ECLAIRE). </w:t>
            </w:r>
          </w:p>
          <w:p w14:paraId="41DEBC48" w14:textId="50999E83" w:rsidR="007E5A02" w:rsidRPr="009A578C" w:rsidRDefault="007E5A02" w:rsidP="004106B2">
            <w:pPr>
              <w:spacing w:after="240"/>
              <w:jc w:val="both"/>
              <w:rPr>
                <w:rFonts w:ascii="Calibri" w:hAnsi="Calibri" w:cs="Calibri"/>
                <w:sz w:val="16"/>
                <w:szCs w:val="20"/>
              </w:rPr>
            </w:pPr>
          </w:p>
        </w:tc>
        <w:tc>
          <w:tcPr>
            <w:tcW w:w="1728" w:type="dxa"/>
            <w:shd w:val="clear" w:color="auto" w:fill="auto"/>
          </w:tcPr>
          <w:p w14:paraId="25F570BE" w14:textId="3C780668" w:rsidR="00981AFF" w:rsidRPr="009A578C" w:rsidRDefault="00801504" w:rsidP="00A25B3B">
            <w:pPr>
              <w:spacing w:after="240"/>
              <w:jc w:val="both"/>
              <w:rPr>
                <w:rFonts w:ascii="Calibri" w:hAnsi="Calibri" w:cs="Calibri"/>
                <w:sz w:val="16"/>
                <w:szCs w:val="20"/>
              </w:rPr>
            </w:pPr>
            <w:r w:rsidRPr="009A578C">
              <w:rPr>
                <w:rFonts w:ascii="Calibri" w:hAnsi="Calibri" w:cs="Calibri"/>
                <w:sz w:val="16"/>
                <w:szCs w:val="20"/>
              </w:rPr>
              <w:t xml:space="preserve">Review of existing </w:t>
            </w:r>
            <w:r w:rsidR="00A25B3B" w:rsidRPr="009A578C">
              <w:rPr>
                <w:rFonts w:ascii="Calibri" w:hAnsi="Calibri" w:cs="Calibri"/>
                <w:sz w:val="16"/>
                <w:szCs w:val="20"/>
              </w:rPr>
              <w:t>data sources and locations</w:t>
            </w:r>
            <w:r w:rsidR="002A2828" w:rsidRPr="009A578C">
              <w:rPr>
                <w:rFonts w:ascii="Calibri" w:hAnsi="Calibri" w:cs="Calibri"/>
                <w:sz w:val="16"/>
                <w:szCs w:val="20"/>
              </w:rPr>
              <w:t xml:space="preserve"> completed</w:t>
            </w:r>
            <w:r w:rsidR="00A25B3B" w:rsidRPr="009A578C">
              <w:rPr>
                <w:rFonts w:ascii="Calibri" w:hAnsi="Calibri" w:cs="Calibri"/>
                <w:sz w:val="16"/>
                <w:szCs w:val="20"/>
              </w:rPr>
              <w:t>.</w:t>
            </w:r>
          </w:p>
          <w:p w14:paraId="1A738E07" w14:textId="77777777" w:rsidR="00A25B3B" w:rsidRPr="009A578C" w:rsidRDefault="00A25B3B" w:rsidP="00A25B3B">
            <w:pPr>
              <w:spacing w:after="240"/>
              <w:jc w:val="both"/>
              <w:rPr>
                <w:rFonts w:ascii="Calibri" w:hAnsi="Calibri" w:cs="Calibri"/>
                <w:sz w:val="16"/>
                <w:szCs w:val="20"/>
              </w:rPr>
            </w:pPr>
            <w:r w:rsidRPr="009A578C">
              <w:rPr>
                <w:rFonts w:ascii="Calibri" w:hAnsi="Calibri" w:cs="Calibri"/>
                <w:sz w:val="16"/>
                <w:szCs w:val="20"/>
              </w:rPr>
              <w:t>INMS database ready for upload and download, training provided to partners.</w:t>
            </w:r>
          </w:p>
          <w:p w14:paraId="18E9E44F" w14:textId="2A57871C" w:rsidR="007E5A02" w:rsidRPr="009A578C" w:rsidRDefault="007E5A02" w:rsidP="007E5A02">
            <w:pPr>
              <w:spacing w:after="240"/>
              <w:jc w:val="both"/>
              <w:rPr>
                <w:rFonts w:ascii="Calibri" w:hAnsi="Calibri" w:cs="Calibri"/>
                <w:sz w:val="16"/>
                <w:szCs w:val="20"/>
              </w:rPr>
            </w:pPr>
            <w:r w:rsidRPr="009A578C">
              <w:rPr>
                <w:rFonts w:ascii="Calibri" w:hAnsi="Calibri" w:cs="Calibri"/>
                <w:sz w:val="16"/>
                <w:szCs w:val="20"/>
              </w:rPr>
              <w:t>Report on status of relevant external INMS datasets which are linked through ENCORE and future plans.</w:t>
            </w:r>
          </w:p>
        </w:tc>
        <w:tc>
          <w:tcPr>
            <w:tcW w:w="1728" w:type="dxa"/>
            <w:shd w:val="clear" w:color="auto" w:fill="auto"/>
          </w:tcPr>
          <w:p w14:paraId="7AE6F5BD" w14:textId="49A48C9C" w:rsidR="007E5A02" w:rsidRPr="009A578C" w:rsidRDefault="007E5A02" w:rsidP="004106B2">
            <w:pPr>
              <w:spacing w:after="240"/>
              <w:jc w:val="both"/>
              <w:rPr>
                <w:rFonts w:ascii="Calibri" w:hAnsi="Calibri" w:cs="Calibri"/>
                <w:sz w:val="16"/>
                <w:szCs w:val="20"/>
              </w:rPr>
            </w:pPr>
            <w:r w:rsidRPr="009A578C">
              <w:rPr>
                <w:rFonts w:ascii="Calibri" w:hAnsi="Calibri" w:cs="Calibri"/>
                <w:sz w:val="16"/>
                <w:szCs w:val="20"/>
              </w:rPr>
              <w:t>Metadata for INMS relevant datasets collected and published on INMS website, for all internal,</w:t>
            </w:r>
            <w:r w:rsidR="002A2828" w:rsidRPr="009A578C">
              <w:rPr>
                <w:rFonts w:ascii="Calibri" w:hAnsi="Calibri" w:cs="Calibri"/>
                <w:sz w:val="16"/>
                <w:szCs w:val="20"/>
              </w:rPr>
              <w:t xml:space="preserve"> and </w:t>
            </w:r>
            <w:r w:rsidRPr="009A578C">
              <w:rPr>
                <w:rFonts w:ascii="Calibri" w:hAnsi="Calibri" w:cs="Calibri"/>
                <w:sz w:val="16"/>
                <w:szCs w:val="20"/>
              </w:rPr>
              <w:t xml:space="preserve"> external linked</w:t>
            </w:r>
            <w:r w:rsidR="002A2828" w:rsidRPr="009A578C">
              <w:rPr>
                <w:rFonts w:ascii="Calibri" w:hAnsi="Calibri" w:cs="Calibri"/>
                <w:sz w:val="16"/>
                <w:szCs w:val="20"/>
              </w:rPr>
              <w:t xml:space="preserve"> datasets</w:t>
            </w:r>
            <w:r w:rsidRPr="009A578C">
              <w:rPr>
                <w:rFonts w:ascii="Calibri" w:hAnsi="Calibri" w:cs="Calibri"/>
                <w:sz w:val="16"/>
                <w:szCs w:val="20"/>
              </w:rPr>
              <w:t xml:space="preserve"> (and external un-linked) </w:t>
            </w:r>
            <w:r w:rsidR="002A2828" w:rsidRPr="009A578C">
              <w:rPr>
                <w:rFonts w:ascii="Calibri" w:hAnsi="Calibri" w:cs="Calibri"/>
                <w:sz w:val="16"/>
                <w:szCs w:val="20"/>
              </w:rPr>
              <w:t>.</w:t>
            </w:r>
          </w:p>
          <w:p w14:paraId="096E5930" w14:textId="77777777" w:rsidR="007E5A02" w:rsidRPr="009A578C" w:rsidRDefault="007E5A02" w:rsidP="004106B2">
            <w:pPr>
              <w:spacing w:after="240"/>
              <w:jc w:val="both"/>
              <w:rPr>
                <w:rFonts w:ascii="Calibri" w:hAnsi="Calibri" w:cs="Calibri"/>
                <w:sz w:val="16"/>
                <w:szCs w:val="20"/>
              </w:rPr>
            </w:pPr>
          </w:p>
          <w:p w14:paraId="7FA38404" w14:textId="77777777" w:rsidR="00981AFF" w:rsidRPr="009A578C" w:rsidRDefault="00A25B3B" w:rsidP="004106B2">
            <w:pPr>
              <w:spacing w:after="240"/>
              <w:jc w:val="both"/>
              <w:rPr>
                <w:rFonts w:ascii="Calibri" w:hAnsi="Calibri" w:cs="Calibri"/>
                <w:sz w:val="16"/>
                <w:szCs w:val="20"/>
              </w:rPr>
            </w:pPr>
            <w:r w:rsidRPr="009A578C">
              <w:rPr>
                <w:rFonts w:ascii="Calibri" w:hAnsi="Calibri" w:cs="Calibri"/>
                <w:sz w:val="16"/>
                <w:szCs w:val="20"/>
              </w:rPr>
              <w:t>Archiving of key datasets within the INMS database.</w:t>
            </w:r>
          </w:p>
          <w:p w14:paraId="5FE86F7B" w14:textId="5FE81C74" w:rsidR="00A25B3B" w:rsidRPr="009A578C" w:rsidRDefault="002A2828" w:rsidP="002A2828">
            <w:pPr>
              <w:spacing w:after="240"/>
              <w:jc w:val="both"/>
              <w:rPr>
                <w:rFonts w:ascii="Calibri" w:hAnsi="Calibri" w:cs="Calibri"/>
                <w:sz w:val="16"/>
                <w:szCs w:val="20"/>
              </w:rPr>
            </w:pPr>
            <w:r w:rsidRPr="009A578C">
              <w:rPr>
                <w:rFonts w:ascii="Calibri" w:hAnsi="Calibri" w:cs="Calibri"/>
                <w:sz w:val="16"/>
                <w:szCs w:val="20"/>
              </w:rPr>
              <w:t>Key e</w:t>
            </w:r>
            <w:r w:rsidR="00A25B3B" w:rsidRPr="009A578C">
              <w:rPr>
                <w:rFonts w:ascii="Calibri" w:hAnsi="Calibri" w:cs="Calibri"/>
                <w:sz w:val="16"/>
                <w:szCs w:val="20"/>
              </w:rPr>
              <w:t>xternal data</w:t>
            </w:r>
            <w:r w:rsidRPr="009A578C">
              <w:rPr>
                <w:rFonts w:ascii="Calibri" w:hAnsi="Calibri" w:cs="Calibri"/>
                <w:sz w:val="16"/>
                <w:szCs w:val="20"/>
              </w:rPr>
              <w:t>sets</w:t>
            </w:r>
            <w:r w:rsidR="00A25B3B" w:rsidRPr="009A578C">
              <w:rPr>
                <w:rFonts w:ascii="Calibri" w:hAnsi="Calibri" w:cs="Calibri"/>
                <w:sz w:val="16"/>
                <w:szCs w:val="20"/>
              </w:rPr>
              <w:t xml:space="preserve"> linked to ENCORE data cluster.</w:t>
            </w:r>
          </w:p>
        </w:tc>
      </w:tr>
      <w:tr w:rsidR="00981AFF" w:rsidRPr="009A578C" w14:paraId="504486FC" w14:textId="77777777" w:rsidTr="004106B2">
        <w:trPr>
          <w:cantSplit/>
          <w:trHeight w:val="780"/>
        </w:trPr>
        <w:tc>
          <w:tcPr>
            <w:tcW w:w="2835" w:type="dxa"/>
            <w:shd w:val="clear" w:color="auto" w:fill="auto"/>
          </w:tcPr>
          <w:p w14:paraId="56EA43F3" w14:textId="284D2D73"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2.1.2 International support to regional inventories &amp; model application</w:t>
            </w:r>
          </w:p>
        </w:tc>
        <w:tc>
          <w:tcPr>
            <w:tcW w:w="2127" w:type="dxa"/>
            <w:shd w:val="clear" w:color="auto" w:fill="auto"/>
          </w:tcPr>
          <w:p w14:paraId="743D9951"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7A2FA2AC"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10809035"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2F28EE23" w14:textId="77777777" w:rsidR="00981AFF" w:rsidRPr="009A578C" w:rsidRDefault="00981AFF" w:rsidP="004106B2">
            <w:pPr>
              <w:spacing w:after="240"/>
              <w:jc w:val="both"/>
              <w:rPr>
                <w:rFonts w:ascii="Calibri" w:hAnsi="Calibri" w:cs="Calibri"/>
                <w:sz w:val="16"/>
                <w:szCs w:val="20"/>
              </w:rPr>
            </w:pPr>
          </w:p>
        </w:tc>
      </w:tr>
      <w:tr w:rsidR="00981AFF" w:rsidRPr="009A578C" w14:paraId="7F5E77D1" w14:textId="77777777" w:rsidTr="004106B2">
        <w:trPr>
          <w:cantSplit/>
          <w:trHeight w:val="780"/>
        </w:trPr>
        <w:tc>
          <w:tcPr>
            <w:tcW w:w="2835" w:type="dxa"/>
            <w:shd w:val="clear" w:color="auto" w:fill="auto"/>
          </w:tcPr>
          <w:p w14:paraId="6FFB5C51"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2.1.3 Combined analysis of present N flows and impacts at global and regional scales</w:t>
            </w:r>
          </w:p>
          <w:p w14:paraId="19118969" w14:textId="77777777" w:rsidR="00981AFF" w:rsidRPr="009A578C" w:rsidRDefault="00981AFF" w:rsidP="004106B2">
            <w:pPr>
              <w:spacing w:after="240"/>
              <w:jc w:val="both"/>
              <w:rPr>
                <w:rFonts w:ascii="Calibri" w:hAnsi="Calibri" w:cs="Calibri"/>
                <w:bCs/>
                <w:sz w:val="16"/>
                <w:szCs w:val="20"/>
              </w:rPr>
            </w:pPr>
          </w:p>
        </w:tc>
        <w:tc>
          <w:tcPr>
            <w:tcW w:w="2127" w:type="dxa"/>
            <w:shd w:val="clear" w:color="auto" w:fill="auto"/>
          </w:tcPr>
          <w:p w14:paraId="50D14FE5"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08F2DA5D"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67AFD0EA"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5EEE8483" w14:textId="77777777" w:rsidR="00981AFF" w:rsidRPr="009A578C" w:rsidRDefault="00981AFF" w:rsidP="004106B2">
            <w:pPr>
              <w:spacing w:after="240"/>
              <w:jc w:val="both"/>
              <w:rPr>
                <w:rFonts w:ascii="Calibri" w:hAnsi="Calibri" w:cs="Calibri"/>
                <w:sz w:val="16"/>
                <w:szCs w:val="20"/>
              </w:rPr>
            </w:pPr>
          </w:p>
        </w:tc>
      </w:tr>
      <w:tr w:rsidR="00981AFF" w:rsidRPr="009A578C" w14:paraId="49110A06" w14:textId="77777777" w:rsidTr="004106B2">
        <w:trPr>
          <w:cantSplit/>
          <w:trHeight w:val="780"/>
        </w:trPr>
        <w:tc>
          <w:tcPr>
            <w:tcW w:w="2835" w:type="dxa"/>
            <w:shd w:val="clear" w:color="auto" w:fill="auto"/>
          </w:tcPr>
          <w:p w14:paraId="66279225"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2.1.4 Quantifying  present &amp; future N threats &amp; benefits at global and regional scales</w:t>
            </w:r>
          </w:p>
        </w:tc>
        <w:tc>
          <w:tcPr>
            <w:tcW w:w="2127" w:type="dxa"/>
            <w:shd w:val="clear" w:color="auto" w:fill="auto"/>
          </w:tcPr>
          <w:p w14:paraId="171E9426"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0B262F34"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52ED969C"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7FB7CBC4" w14:textId="77777777" w:rsidR="00981AFF" w:rsidRPr="009A578C" w:rsidRDefault="00981AFF" w:rsidP="004106B2">
            <w:pPr>
              <w:spacing w:after="240"/>
              <w:jc w:val="both"/>
              <w:rPr>
                <w:rFonts w:ascii="Calibri" w:hAnsi="Calibri" w:cs="Calibri"/>
                <w:sz w:val="16"/>
                <w:szCs w:val="20"/>
              </w:rPr>
            </w:pPr>
          </w:p>
        </w:tc>
      </w:tr>
      <w:tr w:rsidR="00981AFF" w:rsidRPr="009A578C" w14:paraId="64829223" w14:textId="77777777" w:rsidTr="004106B2">
        <w:trPr>
          <w:cantSplit/>
          <w:trHeight w:val="780"/>
        </w:trPr>
        <w:tc>
          <w:tcPr>
            <w:tcW w:w="9747" w:type="dxa"/>
            <w:gridSpan w:val="5"/>
            <w:shd w:val="clear" w:color="auto" w:fill="auto"/>
          </w:tcPr>
          <w:p w14:paraId="2DBA70B5" w14:textId="77777777" w:rsidR="00981AFF" w:rsidRPr="009A578C" w:rsidRDefault="00981AFF" w:rsidP="004106B2">
            <w:pPr>
              <w:spacing w:after="240"/>
              <w:jc w:val="both"/>
              <w:rPr>
                <w:rFonts w:ascii="Calibri" w:hAnsi="Calibri" w:cs="Calibri"/>
                <w:sz w:val="16"/>
                <w:szCs w:val="20"/>
              </w:rPr>
            </w:pPr>
            <w:r w:rsidRPr="009A578C">
              <w:rPr>
                <w:rFonts w:ascii="Calibri" w:hAnsi="Calibri" w:cs="Calibri"/>
                <w:b/>
                <w:bCs/>
                <w:sz w:val="16"/>
                <w:szCs w:val="20"/>
              </w:rPr>
              <w:t>Activity 2.2 Preparation of global assessment of N fluxes, pathways and impacts assimilating lessons from the regional demonstrations</w:t>
            </w:r>
          </w:p>
        </w:tc>
      </w:tr>
      <w:tr w:rsidR="00981AFF" w:rsidRPr="009A578C" w14:paraId="1AC992C1" w14:textId="77777777" w:rsidTr="004106B2">
        <w:trPr>
          <w:cantSplit/>
          <w:trHeight w:val="780"/>
        </w:trPr>
        <w:tc>
          <w:tcPr>
            <w:tcW w:w="2835" w:type="dxa"/>
            <w:shd w:val="clear" w:color="auto" w:fill="auto"/>
            <w:vAlign w:val="center"/>
          </w:tcPr>
          <w:p w14:paraId="002D4660"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2.2.1 Preparation of scope &amp; structure of consolidated global assessment</w:t>
            </w:r>
          </w:p>
        </w:tc>
        <w:tc>
          <w:tcPr>
            <w:tcW w:w="2127" w:type="dxa"/>
            <w:shd w:val="clear" w:color="auto" w:fill="auto"/>
          </w:tcPr>
          <w:p w14:paraId="63F17570"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41333C1B"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6595A7AE"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394EB02D" w14:textId="77777777" w:rsidR="00981AFF" w:rsidRPr="009A578C" w:rsidRDefault="00981AFF" w:rsidP="004106B2">
            <w:pPr>
              <w:spacing w:after="240"/>
              <w:jc w:val="both"/>
              <w:rPr>
                <w:rFonts w:ascii="Calibri" w:hAnsi="Calibri" w:cs="Calibri"/>
                <w:sz w:val="16"/>
                <w:szCs w:val="20"/>
              </w:rPr>
            </w:pPr>
          </w:p>
        </w:tc>
      </w:tr>
      <w:tr w:rsidR="00981AFF" w:rsidRPr="009A578C" w14:paraId="41CC949A" w14:textId="77777777" w:rsidTr="004106B2">
        <w:trPr>
          <w:cantSplit/>
          <w:trHeight w:val="780"/>
        </w:trPr>
        <w:tc>
          <w:tcPr>
            <w:tcW w:w="2835" w:type="dxa"/>
            <w:shd w:val="clear" w:color="auto" w:fill="auto"/>
            <w:vAlign w:val="center"/>
          </w:tcPr>
          <w:p w14:paraId="420FB8E0"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2.2.2 Commissioning of author teams and preparation of the consolidated overview</w:t>
            </w:r>
          </w:p>
        </w:tc>
        <w:tc>
          <w:tcPr>
            <w:tcW w:w="2127" w:type="dxa"/>
            <w:shd w:val="clear" w:color="auto" w:fill="auto"/>
          </w:tcPr>
          <w:p w14:paraId="70343D24"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1F1A9121"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593E6CFD"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4AE8031F" w14:textId="77777777" w:rsidR="00981AFF" w:rsidRPr="009A578C" w:rsidRDefault="00981AFF" w:rsidP="004106B2">
            <w:pPr>
              <w:spacing w:after="240"/>
              <w:jc w:val="both"/>
              <w:rPr>
                <w:rFonts w:ascii="Calibri" w:hAnsi="Calibri" w:cs="Calibri"/>
                <w:sz w:val="16"/>
                <w:szCs w:val="20"/>
              </w:rPr>
            </w:pPr>
          </w:p>
        </w:tc>
      </w:tr>
      <w:tr w:rsidR="00981AFF" w:rsidRPr="009A578C" w14:paraId="68A5CDB1" w14:textId="77777777" w:rsidTr="004106B2">
        <w:trPr>
          <w:cantSplit/>
          <w:trHeight w:val="780"/>
        </w:trPr>
        <w:tc>
          <w:tcPr>
            <w:tcW w:w="2835" w:type="dxa"/>
            <w:shd w:val="clear" w:color="auto" w:fill="auto"/>
            <w:vAlign w:val="center"/>
          </w:tcPr>
          <w:p w14:paraId="606DB7B4"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2.2.3 Peer review of chapters in the global assessment &amp; revision</w:t>
            </w:r>
          </w:p>
        </w:tc>
        <w:tc>
          <w:tcPr>
            <w:tcW w:w="2127" w:type="dxa"/>
            <w:shd w:val="clear" w:color="auto" w:fill="auto"/>
          </w:tcPr>
          <w:p w14:paraId="6C2D5379"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21E8360E"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646E7C8B"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7DACC8F1" w14:textId="77777777" w:rsidR="00981AFF" w:rsidRPr="009A578C" w:rsidRDefault="00981AFF" w:rsidP="004106B2">
            <w:pPr>
              <w:spacing w:after="240"/>
              <w:jc w:val="both"/>
              <w:rPr>
                <w:rFonts w:ascii="Calibri" w:hAnsi="Calibri" w:cs="Calibri"/>
                <w:sz w:val="16"/>
                <w:szCs w:val="20"/>
              </w:rPr>
            </w:pPr>
          </w:p>
        </w:tc>
      </w:tr>
      <w:tr w:rsidR="00981AFF" w:rsidRPr="009A578C" w14:paraId="5CF2FB5F" w14:textId="77777777" w:rsidTr="004106B2">
        <w:trPr>
          <w:cantSplit/>
          <w:trHeight w:val="780"/>
        </w:trPr>
        <w:tc>
          <w:tcPr>
            <w:tcW w:w="2835" w:type="dxa"/>
            <w:shd w:val="clear" w:color="auto" w:fill="auto"/>
            <w:vAlign w:val="center"/>
          </w:tcPr>
          <w:p w14:paraId="3BD10127"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2.2.4 Preparation of summary docs &amp; review with workshop</w:t>
            </w:r>
          </w:p>
        </w:tc>
        <w:tc>
          <w:tcPr>
            <w:tcW w:w="2127" w:type="dxa"/>
            <w:shd w:val="clear" w:color="auto" w:fill="auto"/>
          </w:tcPr>
          <w:p w14:paraId="5C2606B0"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39DB7FC1"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34C0E595"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67345021" w14:textId="77777777" w:rsidR="00981AFF" w:rsidRPr="009A578C" w:rsidRDefault="00981AFF" w:rsidP="004106B2">
            <w:pPr>
              <w:spacing w:after="240"/>
              <w:jc w:val="both"/>
              <w:rPr>
                <w:rFonts w:ascii="Calibri" w:hAnsi="Calibri" w:cs="Calibri"/>
                <w:sz w:val="16"/>
                <w:szCs w:val="20"/>
              </w:rPr>
            </w:pPr>
          </w:p>
        </w:tc>
      </w:tr>
      <w:tr w:rsidR="00981AFF" w:rsidRPr="009A578C" w14:paraId="27092120" w14:textId="77777777" w:rsidTr="004106B2">
        <w:trPr>
          <w:cantSplit/>
          <w:trHeight w:val="780"/>
        </w:trPr>
        <w:tc>
          <w:tcPr>
            <w:tcW w:w="2835" w:type="dxa"/>
            <w:shd w:val="clear" w:color="auto" w:fill="auto"/>
            <w:vAlign w:val="center"/>
          </w:tcPr>
          <w:p w14:paraId="70A24F3D"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2.2.5 Publishing &amp; distribution of consolidated assessment</w:t>
            </w:r>
          </w:p>
        </w:tc>
        <w:tc>
          <w:tcPr>
            <w:tcW w:w="2127" w:type="dxa"/>
            <w:shd w:val="clear" w:color="auto" w:fill="auto"/>
          </w:tcPr>
          <w:p w14:paraId="1DC6CE4C"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6EE50C41"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641400DD"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6E7203CF" w14:textId="77777777" w:rsidR="00981AFF" w:rsidRPr="009A578C" w:rsidRDefault="00981AFF" w:rsidP="004106B2">
            <w:pPr>
              <w:spacing w:after="240"/>
              <w:jc w:val="both"/>
              <w:rPr>
                <w:rFonts w:ascii="Calibri" w:hAnsi="Calibri" w:cs="Calibri"/>
                <w:sz w:val="16"/>
                <w:szCs w:val="20"/>
              </w:rPr>
            </w:pPr>
          </w:p>
        </w:tc>
      </w:tr>
      <w:tr w:rsidR="00981AFF" w:rsidRPr="009A578C" w14:paraId="0D26B39A" w14:textId="77777777" w:rsidTr="004106B2">
        <w:trPr>
          <w:cantSplit/>
          <w:trHeight w:val="780"/>
        </w:trPr>
        <w:tc>
          <w:tcPr>
            <w:tcW w:w="9747" w:type="dxa"/>
            <w:gridSpan w:val="5"/>
            <w:shd w:val="clear" w:color="auto" w:fill="auto"/>
          </w:tcPr>
          <w:p w14:paraId="24488518" w14:textId="77777777" w:rsidR="00981AFF" w:rsidRPr="009A578C" w:rsidRDefault="00981AFF" w:rsidP="004106B2">
            <w:pPr>
              <w:spacing w:after="240"/>
              <w:jc w:val="both"/>
              <w:rPr>
                <w:rFonts w:ascii="Calibri" w:hAnsi="Calibri" w:cs="Calibri"/>
                <w:sz w:val="16"/>
                <w:szCs w:val="20"/>
              </w:rPr>
            </w:pPr>
            <w:r w:rsidRPr="009A578C">
              <w:rPr>
                <w:rFonts w:ascii="Calibri" w:hAnsi="Calibri" w:cs="Calibri"/>
                <w:b/>
                <w:bCs/>
                <w:sz w:val="16"/>
                <w:szCs w:val="20"/>
              </w:rPr>
              <w:lastRenderedPageBreak/>
              <w:t>Activity 2.3 Integrating methods, measures &amp; good practices to address issues of excess &amp; insufficient Nr</w:t>
            </w:r>
          </w:p>
        </w:tc>
      </w:tr>
      <w:tr w:rsidR="00981AFF" w:rsidRPr="009A578C" w14:paraId="18877050" w14:textId="77777777" w:rsidTr="004106B2">
        <w:trPr>
          <w:cantSplit/>
          <w:trHeight w:val="780"/>
        </w:trPr>
        <w:tc>
          <w:tcPr>
            <w:tcW w:w="2835" w:type="dxa"/>
            <w:shd w:val="clear" w:color="auto" w:fill="auto"/>
          </w:tcPr>
          <w:p w14:paraId="20C4D22B"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2.3.1 Preparation of documents on state of the art for N good practices (N form, N effects etc)</w:t>
            </w:r>
          </w:p>
        </w:tc>
        <w:tc>
          <w:tcPr>
            <w:tcW w:w="2127" w:type="dxa"/>
            <w:shd w:val="clear" w:color="auto" w:fill="auto"/>
          </w:tcPr>
          <w:p w14:paraId="39BF9071"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05150A35"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13354DDA"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7EF85951" w14:textId="77777777" w:rsidR="00981AFF" w:rsidRPr="009A578C" w:rsidRDefault="00981AFF" w:rsidP="004106B2">
            <w:pPr>
              <w:spacing w:after="240"/>
              <w:jc w:val="both"/>
              <w:rPr>
                <w:rFonts w:ascii="Calibri" w:hAnsi="Calibri" w:cs="Calibri"/>
                <w:sz w:val="16"/>
                <w:szCs w:val="20"/>
              </w:rPr>
            </w:pPr>
          </w:p>
        </w:tc>
      </w:tr>
      <w:tr w:rsidR="00981AFF" w:rsidRPr="009A578C" w14:paraId="2AFCB8B7" w14:textId="77777777" w:rsidTr="004106B2">
        <w:trPr>
          <w:cantSplit/>
          <w:trHeight w:val="780"/>
        </w:trPr>
        <w:tc>
          <w:tcPr>
            <w:tcW w:w="2835" w:type="dxa"/>
            <w:shd w:val="clear" w:color="auto" w:fill="auto"/>
          </w:tcPr>
          <w:p w14:paraId="1EEC7885"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2.3.2 Workshop to link methods &amp; good practices for N effects (food, water, air, climate etc)</w:t>
            </w:r>
          </w:p>
        </w:tc>
        <w:tc>
          <w:tcPr>
            <w:tcW w:w="2127" w:type="dxa"/>
            <w:shd w:val="clear" w:color="auto" w:fill="auto"/>
          </w:tcPr>
          <w:p w14:paraId="70D8366B"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31AC983D"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45592F41"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0976BB51" w14:textId="77777777" w:rsidR="00981AFF" w:rsidRPr="009A578C" w:rsidRDefault="00981AFF" w:rsidP="004106B2">
            <w:pPr>
              <w:spacing w:after="240"/>
              <w:jc w:val="both"/>
              <w:rPr>
                <w:rFonts w:ascii="Calibri" w:hAnsi="Calibri" w:cs="Calibri"/>
                <w:sz w:val="16"/>
                <w:szCs w:val="20"/>
              </w:rPr>
            </w:pPr>
          </w:p>
        </w:tc>
      </w:tr>
      <w:tr w:rsidR="00981AFF" w:rsidRPr="009A578C" w14:paraId="3977CFE4" w14:textId="77777777" w:rsidTr="004106B2">
        <w:trPr>
          <w:cantSplit/>
          <w:trHeight w:val="780"/>
        </w:trPr>
        <w:tc>
          <w:tcPr>
            <w:tcW w:w="2835" w:type="dxa"/>
            <w:shd w:val="clear" w:color="auto" w:fill="auto"/>
          </w:tcPr>
          <w:p w14:paraId="3C47175A"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2.3.3 Publishing of revised papers and preparation of synthetic guidance document</w:t>
            </w:r>
          </w:p>
          <w:p w14:paraId="0E57AD7E" w14:textId="77777777" w:rsidR="00981AFF" w:rsidRPr="009A578C" w:rsidRDefault="00981AFF" w:rsidP="004106B2">
            <w:pPr>
              <w:spacing w:after="240"/>
              <w:jc w:val="both"/>
              <w:rPr>
                <w:rFonts w:ascii="Calibri" w:hAnsi="Calibri" w:cs="Calibri"/>
                <w:bCs/>
                <w:sz w:val="16"/>
                <w:szCs w:val="20"/>
              </w:rPr>
            </w:pPr>
          </w:p>
        </w:tc>
        <w:tc>
          <w:tcPr>
            <w:tcW w:w="2127" w:type="dxa"/>
            <w:shd w:val="clear" w:color="auto" w:fill="auto"/>
          </w:tcPr>
          <w:p w14:paraId="54A76D6D"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361DC058"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2E68D054"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060CF0A0" w14:textId="77777777" w:rsidR="00981AFF" w:rsidRPr="009A578C" w:rsidRDefault="00981AFF" w:rsidP="004106B2">
            <w:pPr>
              <w:spacing w:after="240"/>
              <w:jc w:val="both"/>
              <w:rPr>
                <w:rFonts w:ascii="Calibri" w:hAnsi="Calibri" w:cs="Calibri"/>
                <w:sz w:val="16"/>
                <w:szCs w:val="20"/>
              </w:rPr>
            </w:pPr>
          </w:p>
        </w:tc>
      </w:tr>
      <w:tr w:rsidR="00981AFF" w:rsidRPr="009A578C" w14:paraId="7807D9E8" w14:textId="77777777" w:rsidTr="004106B2">
        <w:trPr>
          <w:cantSplit/>
          <w:trHeight w:val="780"/>
        </w:trPr>
        <w:tc>
          <w:tcPr>
            <w:tcW w:w="2835" w:type="dxa"/>
            <w:shd w:val="clear" w:color="auto" w:fill="auto"/>
          </w:tcPr>
          <w:p w14:paraId="446F2649"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2.3.4 Peer and Stakeholder review of Synthetic N guidance document</w:t>
            </w:r>
          </w:p>
        </w:tc>
        <w:tc>
          <w:tcPr>
            <w:tcW w:w="2127" w:type="dxa"/>
            <w:shd w:val="clear" w:color="auto" w:fill="auto"/>
          </w:tcPr>
          <w:p w14:paraId="771C8ACB"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1D058A81"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789F3AF8"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0FA64092" w14:textId="77777777" w:rsidR="00981AFF" w:rsidRPr="009A578C" w:rsidRDefault="00981AFF" w:rsidP="004106B2">
            <w:pPr>
              <w:spacing w:after="240"/>
              <w:jc w:val="both"/>
              <w:rPr>
                <w:rFonts w:ascii="Calibri" w:hAnsi="Calibri" w:cs="Calibri"/>
                <w:sz w:val="16"/>
                <w:szCs w:val="20"/>
              </w:rPr>
            </w:pPr>
          </w:p>
        </w:tc>
      </w:tr>
      <w:tr w:rsidR="00981AFF" w:rsidRPr="009A578C" w14:paraId="08603B4C" w14:textId="77777777" w:rsidTr="004106B2">
        <w:trPr>
          <w:cantSplit/>
          <w:trHeight w:val="780"/>
        </w:trPr>
        <w:tc>
          <w:tcPr>
            <w:tcW w:w="2835" w:type="dxa"/>
            <w:shd w:val="clear" w:color="auto" w:fill="auto"/>
          </w:tcPr>
          <w:p w14:paraId="603F9450"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2.3.5 Publishing of synthesis doc &amp; updating of practice database</w:t>
            </w:r>
          </w:p>
        </w:tc>
        <w:tc>
          <w:tcPr>
            <w:tcW w:w="2127" w:type="dxa"/>
            <w:shd w:val="clear" w:color="auto" w:fill="auto"/>
          </w:tcPr>
          <w:p w14:paraId="0229A4CC"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12A3D086"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318350D1"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15C02BE2" w14:textId="77777777" w:rsidR="00981AFF" w:rsidRPr="009A578C" w:rsidRDefault="00981AFF" w:rsidP="004106B2">
            <w:pPr>
              <w:spacing w:after="240"/>
              <w:jc w:val="both"/>
              <w:rPr>
                <w:rFonts w:ascii="Calibri" w:hAnsi="Calibri" w:cs="Calibri"/>
                <w:sz w:val="16"/>
                <w:szCs w:val="20"/>
              </w:rPr>
            </w:pPr>
          </w:p>
        </w:tc>
      </w:tr>
      <w:tr w:rsidR="00981AFF" w:rsidRPr="009A578C" w14:paraId="28F91B72" w14:textId="77777777" w:rsidTr="004106B2">
        <w:trPr>
          <w:cantSplit/>
          <w:trHeight w:val="780"/>
        </w:trPr>
        <w:tc>
          <w:tcPr>
            <w:tcW w:w="9747" w:type="dxa"/>
            <w:gridSpan w:val="5"/>
            <w:shd w:val="clear" w:color="auto" w:fill="auto"/>
          </w:tcPr>
          <w:p w14:paraId="6ECF7CF1" w14:textId="77777777" w:rsidR="00981AFF" w:rsidRPr="009A578C" w:rsidRDefault="00981AFF" w:rsidP="004106B2">
            <w:pPr>
              <w:spacing w:after="240"/>
              <w:jc w:val="both"/>
              <w:rPr>
                <w:rFonts w:ascii="Calibri" w:hAnsi="Calibri" w:cs="Calibri"/>
                <w:sz w:val="16"/>
                <w:szCs w:val="20"/>
              </w:rPr>
            </w:pPr>
            <w:r w:rsidRPr="009A578C">
              <w:rPr>
                <w:rFonts w:ascii="Calibri" w:hAnsi="Calibri" w:cs="Calibri"/>
                <w:b/>
                <w:bCs/>
                <w:sz w:val="16"/>
                <w:szCs w:val="20"/>
              </w:rPr>
              <w:t>Activity 2.4 Exploration of future N storylines &amp; scenarios with management/ mitigation options &amp; cost-benefit analysis</w:t>
            </w:r>
          </w:p>
        </w:tc>
      </w:tr>
      <w:tr w:rsidR="00981AFF" w:rsidRPr="009A578C" w14:paraId="4D772EFF" w14:textId="77777777" w:rsidTr="004106B2">
        <w:trPr>
          <w:cantSplit/>
          <w:trHeight w:val="780"/>
        </w:trPr>
        <w:tc>
          <w:tcPr>
            <w:tcW w:w="2835" w:type="dxa"/>
            <w:shd w:val="clear" w:color="auto" w:fill="auto"/>
            <w:vAlign w:val="center"/>
          </w:tcPr>
          <w:p w14:paraId="779E9B7C"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2.4.1 Review of existing N policies for different countries &amp; regions</w:t>
            </w:r>
          </w:p>
        </w:tc>
        <w:tc>
          <w:tcPr>
            <w:tcW w:w="2127" w:type="dxa"/>
            <w:shd w:val="clear" w:color="auto" w:fill="auto"/>
          </w:tcPr>
          <w:p w14:paraId="1ABFD14C"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4BCCFDCA"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12311C88"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01204156" w14:textId="77777777" w:rsidR="00981AFF" w:rsidRPr="009A578C" w:rsidRDefault="00981AFF" w:rsidP="004106B2">
            <w:pPr>
              <w:spacing w:after="240"/>
              <w:jc w:val="both"/>
              <w:rPr>
                <w:rFonts w:ascii="Calibri" w:hAnsi="Calibri" w:cs="Calibri"/>
                <w:sz w:val="16"/>
                <w:szCs w:val="20"/>
              </w:rPr>
            </w:pPr>
          </w:p>
        </w:tc>
      </w:tr>
      <w:tr w:rsidR="00981AFF" w:rsidRPr="009A578C" w14:paraId="446C12E2" w14:textId="77777777" w:rsidTr="004106B2">
        <w:trPr>
          <w:cantSplit/>
          <w:trHeight w:val="780"/>
        </w:trPr>
        <w:tc>
          <w:tcPr>
            <w:tcW w:w="2835" w:type="dxa"/>
            <w:shd w:val="clear" w:color="auto" w:fill="auto"/>
            <w:vAlign w:val="center"/>
          </w:tcPr>
          <w:p w14:paraId="7052D3A9"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2.4.2 Review of existing storylines and scenarios relevant for N</w:t>
            </w:r>
          </w:p>
        </w:tc>
        <w:tc>
          <w:tcPr>
            <w:tcW w:w="2127" w:type="dxa"/>
            <w:shd w:val="clear" w:color="auto" w:fill="auto"/>
          </w:tcPr>
          <w:p w14:paraId="348EFCB2"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6C810DB5"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2DF7B8D0"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1379D84F" w14:textId="77777777" w:rsidR="00981AFF" w:rsidRPr="009A578C" w:rsidRDefault="00981AFF" w:rsidP="004106B2">
            <w:pPr>
              <w:spacing w:after="240"/>
              <w:jc w:val="both"/>
              <w:rPr>
                <w:rFonts w:ascii="Calibri" w:hAnsi="Calibri" w:cs="Calibri"/>
                <w:sz w:val="16"/>
                <w:szCs w:val="20"/>
              </w:rPr>
            </w:pPr>
          </w:p>
        </w:tc>
      </w:tr>
      <w:tr w:rsidR="00981AFF" w:rsidRPr="009A578C" w14:paraId="38AD7A5B" w14:textId="77777777" w:rsidTr="004106B2">
        <w:trPr>
          <w:cantSplit/>
          <w:trHeight w:val="780"/>
        </w:trPr>
        <w:tc>
          <w:tcPr>
            <w:tcW w:w="2835" w:type="dxa"/>
            <w:shd w:val="clear" w:color="auto" w:fill="auto"/>
            <w:vAlign w:val="center"/>
          </w:tcPr>
          <w:p w14:paraId="011D4D2F"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2.4.3 Workshop on N storylines &amp; scenarios for shared use across  the project</w:t>
            </w:r>
          </w:p>
        </w:tc>
        <w:tc>
          <w:tcPr>
            <w:tcW w:w="2127" w:type="dxa"/>
            <w:shd w:val="clear" w:color="auto" w:fill="auto"/>
          </w:tcPr>
          <w:p w14:paraId="5C26B8D3"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548D4BB2"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4B9DD730"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01551905" w14:textId="77777777" w:rsidR="00981AFF" w:rsidRPr="009A578C" w:rsidRDefault="00981AFF" w:rsidP="004106B2">
            <w:pPr>
              <w:spacing w:after="240"/>
              <w:jc w:val="both"/>
              <w:rPr>
                <w:rFonts w:ascii="Calibri" w:hAnsi="Calibri" w:cs="Calibri"/>
                <w:sz w:val="16"/>
                <w:szCs w:val="20"/>
              </w:rPr>
            </w:pPr>
          </w:p>
        </w:tc>
      </w:tr>
      <w:tr w:rsidR="00981AFF" w:rsidRPr="009A578C" w14:paraId="3DCFAC0F" w14:textId="77777777" w:rsidTr="004106B2">
        <w:trPr>
          <w:cantSplit/>
          <w:trHeight w:val="780"/>
        </w:trPr>
        <w:tc>
          <w:tcPr>
            <w:tcW w:w="2835" w:type="dxa"/>
            <w:shd w:val="clear" w:color="auto" w:fill="auto"/>
            <w:vAlign w:val="center"/>
          </w:tcPr>
          <w:p w14:paraId="723BCEF9"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2.4.4 Synthesis of future programmes and policy options supported by cost benefit analysis</w:t>
            </w:r>
          </w:p>
        </w:tc>
        <w:tc>
          <w:tcPr>
            <w:tcW w:w="2127" w:type="dxa"/>
            <w:shd w:val="clear" w:color="auto" w:fill="auto"/>
          </w:tcPr>
          <w:p w14:paraId="7B800A8F"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7A22038F"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05EF8FA5"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526668CF" w14:textId="77777777" w:rsidR="00981AFF" w:rsidRPr="009A578C" w:rsidRDefault="00981AFF" w:rsidP="004106B2">
            <w:pPr>
              <w:spacing w:after="240"/>
              <w:jc w:val="both"/>
              <w:rPr>
                <w:rFonts w:ascii="Calibri" w:hAnsi="Calibri" w:cs="Calibri"/>
                <w:sz w:val="16"/>
                <w:szCs w:val="20"/>
              </w:rPr>
            </w:pPr>
          </w:p>
        </w:tc>
      </w:tr>
      <w:tr w:rsidR="00981AFF" w:rsidRPr="009A578C" w14:paraId="5B14CC66" w14:textId="77777777" w:rsidTr="004106B2">
        <w:trPr>
          <w:cantSplit/>
          <w:trHeight w:val="780"/>
        </w:trPr>
        <w:tc>
          <w:tcPr>
            <w:tcW w:w="9747" w:type="dxa"/>
            <w:gridSpan w:val="5"/>
            <w:shd w:val="clear" w:color="auto" w:fill="auto"/>
          </w:tcPr>
          <w:p w14:paraId="630893A3" w14:textId="77777777" w:rsidR="00981AFF" w:rsidRPr="009A578C" w:rsidRDefault="00981AFF" w:rsidP="004106B2">
            <w:pPr>
              <w:spacing w:after="240"/>
              <w:jc w:val="both"/>
              <w:rPr>
                <w:rFonts w:ascii="Calibri" w:hAnsi="Calibri" w:cs="Calibri"/>
                <w:sz w:val="16"/>
                <w:szCs w:val="20"/>
              </w:rPr>
            </w:pPr>
            <w:r w:rsidRPr="009A578C">
              <w:rPr>
                <w:rFonts w:ascii="Calibri" w:hAnsi="Calibri" w:cs="Calibri"/>
                <w:b/>
                <w:bCs/>
                <w:sz w:val="16"/>
                <w:szCs w:val="20"/>
              </w:rPr>
              <w:t>Activity 2.5 Collation &amp; synthesis of knowledge, experience &amp; measures adopted by GEF and others on excess &amp; insufficient Nr</w:t>
            </w:r>
          </w:p>
        </w:tc>
      </w:tr>
      <w:tr w:rsidR="00981AFF" w:rsidRPr="009A578C" w14:paraId="2B5D662B" w14:textId="77777777" w:rsidTr="004106B2">
        <w:trPr>
          <w:cantSplit/>
          <w:trHeight w:val="780"/>
        </w:trPr>
        <w:tc>
          <w:tcPr>
            <w:tcW w:w="2835" w:type="dxa"/>
            <w:shd w:val="clear" w:color="auto" w:fill="auto"/>
          </w:tcPr>
          <w:p w14:paraId="47F24C61"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2.5.1 Review of N measures adopted by GEF and incorporation into database</w:t>
            </w:r>
          </w:p>
        </w:tc>
        <w:tc>
          <w:tcPr>
            <w:tcW w:w="2127" w:type="dxa"/>
            <w:shd w:val="clear" w:color="auto" w:fill="auto"/>
          </w:tcPr>
          <w:p w14:paraId="35691196"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1AD473FF"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6372C292"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449F3913" w14:textId="77777777" w:rsidR="00981AFF" w:rsidRPr="009A578C" w:rsidRDefault="00981AFF" w:rsidP="004106B2">
            <w:pPr>
              <w:spacing w:after="240"/>
              <w:jc w:val="both"/>
              <w:rPr>
                <w:rFonts w:ascii="Calibri" w:hAnsi="Calibri" w:cs="Calibri"/>
                <w:sz w:val="16"/>
                <w:szCs w:val="20"/>
              </w:rPr>
            </w:pPr>
          </w:p>
        </w:tc>
      </w:tr>
      <w:tr w:rsidR="00981AFF" w:rsidRPr="009A578C" w14:paraId="013EC690" w14:textId="77777777" w:rsidTr="004106B2">
        <w:trPr>
          <w:cantSplit/>
          <w:trHeight w:val="780"/>
        </w:trPr>
        <w:tc>
          <w:tcPr>
            <w:tcW w:w="2835" w:type="dxa"/>
            <w:shd w:val="clear" w:color="auto" w:fill="auto"/>
          </w:tcPr>
          <w:p w14:paraId="39255869"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Task 2.5.2 Review of N measures adopted by others inc from INMS demo regions &amp; inc in database</w:t>
            </w:r>
          </w:p>
        </w:tc>
        <w:tc>
          <w:tcPr>
            <w:tcW w:w="2127" w:type="dxa"/>
            <w:shd w:val="clear" w:color="auto" w:fill="auto"/>
          </w:tcPr>
          <w:p w14:paraId="68BD9759"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4C641E0D"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37E1C811"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6BC50ADE" w14:textId="77777777" w:rsidR="00981AFF" w:rsidRPr="009A578C" w:rsidRDefault="00981AFF" w:rsidP="004106B2">
            <w:pPr>
              <w:spacing w:after="240"/>
              <w:jc w:val="both"/>
              <w:rPr>
                <w:rFonts w:ascii="Calibri" w:hAnsi="Calibri" w:cs="Calibri"/>
                <w:sz w:val="16"/>
                <w:szCs w:val="20"/>
              </w:rPr>
            </w:pPr>
          </w:p>
        </w:tc>
      </w:tr>
      <w:tr w:rsidR="00981AFF" w:rsidRPr="009A578C" w14:paraId="4E79FFDB" w14:textId="77777777" w:rsidTr="004106B2">
        <w:trPr>
          <w:cantSplit/>
          <w:trHeight w:val="780"/>
        </w:trPr>
        <w:tc>
          <w:tcPr>
            <w:tcW w:w="2835" w:type="dxa"/>
            <w:shd w:val="clear" w:color="auto" w:fill="auto"/>
          </w:tcPr>
          <w:p w14:paraId="6054229B" w14:textId="77777777" w:rsidR="00981AFF" w:rsidRPr="009A578C" w:rsidRDefault="00981AFF" w:rsidP="004106B2">
            <w:pPr>
              <w:spacing w:after="240"/>
              <w:jc w:val="both"/>
              <w:rPr>
                <w:rFonts w:ascii="Calibri" w:hAnsi="Calibri" w:cs="Calibri"/>
                <w:bCs/>
                <w:sz w:val="16"/>
                <w:szCs w:val="20"/>
              </w:rPr>
            </w:pPr>
            <w:r w:rsidRPr="009A578C">
              <w:rPr>
                <w:rFonts w:ascii="Calibri" w:hAnsi="Calibri" w:cs="Calibri"/>
                <w:bCs/>
                <w:sz w:val="16"/>
                <w:szCs w:val="20"/>
              </w:rPr>
              <w:t xml:space="preserve">Task 2.5.3 Preparation of compendium of knowledge on N measures </w:t>
            </w:r>
          </w:p>
        </w:tc>
        <w:tc>
          <w:tcPr>
            <w:tcW w:w="2127" w:type="dxa"/>
            <w:shd w:val="clear" w:color="auto" w:fill="auto"/>
          </w:tcPr>
          <w:p w14:paraId="16C0792B" w14:textId="77777777" w:rsidR="00981AFF" w:rsidRPr="009A578C" w:rsidRDefault="00981AFF" w:rsidP="004106B2">
            <w:pPr>
              <w:spacing w:after="240"/>
              <w:jc w:val="both"/>
              <w:rPr>
                <w:rFonts w:ascii="Calibri" w:hAnsi="Calibri" w:cs="Calibri"/>
                <w:sz w:val="16"/>
                <w:szCs w:val="20"/>
              </w:rPr>
            </w:pPr>
          </w:p>
        </w:tc>
        <w:tc>
          <w:tcPr>
            <w:tcW w:w="1329" w:type="dxa"/>
            <w:shd w:val="clear" w:color="auto" w:fill="auto"/>
          </w:tcPr>
          <w:p w14:paraId="70F511ED"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04BDB0DB" w14:textId="77777777" w:rsidR="00981AFF" w:rsidRPr="009A578C" w:rsidRDefault="00981AFF" w:rsidP="004106B2">
            <w:pPr>
              <w:spacing w:after="240"/>
              <w:jc w:val="both"/>
              <w:rPr>
                <w:rFonts w:ascii="Calibri" w:hAnsi="Calibri" w:cs="Calibri"/>
                <w:sz w:val="16"/>
                <w:szCs w:val="20"/>
              </w:rPr>
            </w:pPr>
          </w:p>
        </w:tc>
        <w:tc>
          <w:tcPr>
            <w:tcW w:w="1728" w:type="dxa"/>
            <w:shd w:val="clear" w:color="auto" w:fill="auto"/>
          </w:tcPr>
          <w:p w14:paraId="7C36697E" w14:textId="77777777" w:rsidR="00981AFF" w:rsidRPr="009A578C" w:rsidRDefault="00981AFF" w:rsidP="004106B2">
            <w:pPr>
              <w:spacing w:after="240"/>
              <w:jc w:val="both"/>
              <w:rPr>
                <w:rFonts w:ascii="Calibri" w:hAnsi="Calibri" w:cs="Calibri"/>
                <w:sz w:val="16"/>
                <w:szCs w:val="20"/>
              </w:rPr>
            </w:pPr>
          </w:p>
        </w:tc>
      </w:tr>
      <w:tr w:rsidR="00981AFF" w:rsidRPr="009A578C" w14:paraId="269787FD" w14:textId="77777777" w:rsidTr="004106B2">
        <w:trPr>
          <w:cantSplit/>
          <w:trHeight w:val="780"/>
        </w:trPr>
        <w:tc>
          <w:tcPr>
            <w:tcW w:w="2835" w:type="dxa"/>
            <w:shd w:val="clear" w:color="auto" w:fill="auto"/>
          </w:tcPr>
          <w:p w14:paraId="395962C7" w14:textId="77777777" w:rsidR="00981AFF" w:rsidRPr="009A578C" w:rsidRDefault="00981AFF" w:rsidP="004106B2">
            <w:pPr>
              <w:spacing w:after="240"/>
              <w:jc w:val="both"/>
              <w:rPr>
                <w:rFonts w:ascii="Calibri" w:hAnsi="Calibri" w:cs="Calibri"/>
                <w:b/>
                <w:bCs/>
                <w:sz w:val="12"/>
                <w:szCs w:val="20"/>
              </w:rPr>
            </w:pPr>
          </w:p>
        </w:tc>
        <w:tc>
          <w:tcPr>
            <w:tcW w:w="2127" w:type="dxa"/>
            <w:shd w:val="clear" w:color="auto" w:fill="auto"/>
          </w:tcPr>
          <w:p w14:paraId="352F4D8D" w14:textId="77777777" w:rsidR="00981AFF" w:rsidRPr="009A578C" w:rsidRDefault="00981AFF" w:rsidP="004106B2">
            <w:pPr>
              <w:spacing w:after="240"/>
              <w:jc w:val="both"/>
              <w:rPr>
                <w:rFonts w:ascii="Calibri" w:hAnsi="Calibri" w:cs="Calibri"/>
                <w:sz w:val="12"/>
                <w:szCs w:val="20"/>
              </w:rPr>
            </w:pPr>
          </w:p>
        </w:tc>
        <w:tc>
          <w:tcPr>
            <w:tcW w:w="1329" w:type="dxa"/>
            <w:shd w:val="clear" w:color="auto" w:fill="auto"/>
          </w:tcPr>
          <w:p w14:paraId="72BEEB38" w14:textId="77777777" w:rsidR="00981AFF" w:rsidRPr="009A578C" w:rsidRDefault="00981AFF" w:rsidP="004106B2">
            <w:pPr>
              <w:spacing w:after="240"/>
              <w:jc w:val="both"/>
              <w:rPr>
                <w:rFonts w:ascii="Calibri" w:hAnsi="Calibri" w:cs="Calibri"/>
                <w:sz w:val="12"/>
                <w:szCs w:val="20"/>
              </w:rPr>
            </w:pPr>
          </w:p>
        </w:tc>
        <w:tc>
          <w:tcPr>
            <w:tcW w:w="1728" w:type="dxa"/>
            <w:shd w:val="clear" w:color="auto" w:fill="auto"/>
          </w:tcPr>
          <w:p w14:paraId="2152AABF" w14:textId="77777777" w:rsidR="00981AFF" w:rsidRPr="009A578C" w:rsidRDefault="00981AFF" w:rsidP="004106B2">
            <w:pPr>
              <w:spacing w:after="240"/>
              <w:jc w:val="both"/>
              <w:rPr>
                <w:rFonts w:ascii="Calibri" w:hAnsi="Calibri" w:cs="Calibri"/>
                <w:sz w:val="12"/>
                <w:szCs w:val="20"/>
              </w:rPr>
            </w:pPr>
          </w:p>
        </w:tc>
        <w:tc>
          <w:tcPr>
            <w:tcW w:w="1728" w:type="dxa"/>
            <w:shd w:val="clear" w:color="auto" w:fill="auto"/>
          </w:tcPr>
          <w:p w14:paraId="7B6D2E56" w14:textId="77777777" w:rsidR="00981AFF" w:rsidRPr="009A578C" w:rsidRDefault="00981AFF" w:rsidP="004106B2">
            <w:pPr>
              <w:spacing w:after="240"/>
              <w:jc w:val="both"/>
              <w:rPr>
                <w:rFonts w:ascii="Calibri" w:hAnsi="Calibri" w:cs="Calibri"/>
                <w:sz w:val="12"/>
                <w:szCs w:val="20"/>
              </w:rPr>
            </w:pPr>
          </w:p>
        </w:tc>
      </w:tr>
    </w:tbl>
    <w:p w14:paraId="222EB880" w14:textId="77777777" w:rsidR="00A62147" w:rsidRPr="009A578C" w:rsidRDefault="00A62147" w:rsidP="00A62147">
      <w:pPr>
        <w:rPr>
          <w:sz w:val="18"/>
        </w:rPr>
        <w:sectPr w:rsidR="00A62147" w:rsidRPr="009A578C" w:rsidSect="00415B28">
          <w:headerReference w:type="default" r:id="rId25"/>
          <w:footerReference w:type="default" r:id="rId26"/>
          <w:pgSz w:w="11906" w:h="16838"/>
          <w:pgMar w:top="1412" w:right="1412" w:bottom="1412" w:left="1412" w:header="709" w:footer="1021" w:gutter="0"/>
          <w:cols w:space="708"/>
          <w:docGrid w:linePitch="360"/>
        </w:sectPr>
      </w:pPr>
    </w:p>
    <w:p w14:paraId="61FC8BDA" w14:textId="66D1FADD" w:rsidR="00C43F15" w:rsidRDefault="00C43F15" w:rsidP="00C43F15">
      <w:pPr>
        <w:pStyle w:val="NonumberingHeading"/>
      </w:pPr>
      <w:bookmarkStart w:id="28" w:name="_Toc442303849"/>
      <w:r>
        <w:lastRenderedPageBreak/>
        <w:t>Annex</w:t>
      </w:r>
      <w:r w:rsidR="00291A4F">
        <w:t xml:space="preserve"> </w:t>
      </w:r>
      <w:r>
        <w:t>1 – Component Results Framework</w:t>
      </w:r>
      <w:bookmarkEnd w:id="28"/>
    </w:p>
    <w:p w14:paraId="308E0D1A" w14:textId="77777777" w:rsidR="00C43F15" w:rsidRDefault="00C43F15" w:rsidP="00C43F15"/>
    <w:p w14:paraId="54996F4B" w14:textId="77777777" w:rsidR="00C43F15" w:rsidRPr="00747669" w:rsidRDefault="00C43F15" w:rsidP="00C43F15">
      <w:pPr>
        <w:rPr>
          <w:b/>
          <w:sz w:val="20"/>
          <w:szCs w:val="20"/>
        </w:rPr>
      </w:pPr>
      <w:r w:rsidRPr="00747669">
        <w:rPr>
          <w:b/>
          <w:bCs/>
          <w:sz w:val="20"/>
          <w:szCs w:val="20"/>
        </w:rPr>
        <w:t>Component 2</w:t>
      </w:r>
      <w:r>
        <w:rPr>
          <w:b/>
          <w:bCs/>
          <w:sz w:val="20"/>
          <w:szCs w:val="20"/>
        </w:rPr>
        <w:t xml:space="preserve"> </w:t>
      </w:r>
      <w:r w:rsidRPr="00747669">
        <w:rPr>
          <w:b/>
          <w:bCs/>
          <w:sz w:val="20"/>
          <w:szCs w:val="20"/>
        </w:rPr>
        <w:t>Quantification of N flows, threats &amp; benefits</w:t>
      </w:r>
    </w:p>
    <w:tbl>
      <w:tblPr>
        <w:tblStyle w:val="TableGrid"/>
        <w:tblW w:w="0" w:type="auto"/>
        <w:tblLook w:val="04A0" w:firstRow="1" w:lastRow="0" w:firstColumn="1" w:lastColumn="0" w:noHBand="0" w:noVBand="1"/>
      </w:tblPr>
      <w:tblGrid>
        <w:gridCol w:w="3331"/>
        <w:gridCol w:w="1967"/>
        <w:gridCol w:w="2199"/>
        <w:gridCol w:w="2563"/>
        <w:gridCol w:w="2551"/>
        <w:gridCol w:w="1337"/>
      </w:tblGrid>
      <w:tr w:rsidR="00C64F98" w:rsidRPr="002E6A3F" w14:paraId="4CCC839F" w14:textId="77777777" w:rsidTr="009A578C">
        <w:trPr>
          <w:trHeight w:val="498"/>
          <w:tblHeader/>
        </w:trPr>
        <w:tc>
          <w:tcPr>
            <w:tcW w:w="3331" w:type="dxa"/>
            <w:vAlign w:val="center"/>
          </w:tcPr>
          <w:p w14:paraId="1D4F69B7" w14:textId="77777777" w:rsidR="00C43F15" w:rsidRPr="002E6A3F" w:rsidRDefault="00C43F15" w:rsidP="00415B28">
            <w:pPr>
              <w:jc w:val="center"/>
              <w:rPr>
                <w:sz w:val="20"/>
                <w:szCs w:val="20"/>
              </w:rPr>
            </w:pPr>
            <w:r w:rsidRPr="002E6A3F">
              <w:rPr>
                <w:rFonts w:cs="Arial"/>
                <w:b/>
                <w:bCs/>
                <w:sz w:val="20"/>
                <w:szCs w:val="20"/>
              </w:rPr>
              <w:t>Outcomes and Outputs</w:t>
            </w:r>
          </w:p>
        </w:tc>
        <w:tc>
          <w:tcPr>
            <w:tcW w:w="1967" w:type="dxa"/>
            <w:vAlign w:val="center"/>
          </w:tcPr>
          <w:p w14:paraId="0A974050" w14:textId="77777777" w:rsidR="00C43F15" w:rsidRPr="002E6A3F" w:rsidRDefault="00C43F15" w:rsidP="00415B28">
            <w:pPr>
              <w:jc w:val="center"/>
              <w:rPr>
                <w:sz w:val="20"/>
                <w:szCs w:val="20"/>
              </w:rPr>
            </w:pPr>
            <w:r>
              <w:rPr>
                <w:rFonts w:cs="Arial"/>
                <w:b/>
                <w:bCs/>
                <w:sz w:val="20"/>
                <w:szCs w:val="20"/>
              </w:rPr>
              <w:t>Indicator</w:t>
            </w:r>
          </w:p>
        </w:tc>
        <w:tc>
          <w:tcPr>
            <w:tcW w:w="2199" w:type="dxa"/>
            <w:vAlign w:val="center"/>
          </w:tcPr>
          <w:p w14:paraId="678B04B1" w14:textId="77777777" w:rsidR="00C43F15" w:rsidRPr="002E6A3F" w:rsidRDefault="00C43F15" w:rsidP="00415B28">
            <w:pPr>
              <w:jc w:val="center"/>
              <w:rPr>
                <w:sz w:val="20"/>
                <w:szCs w:val="20"/>
              </w:rPr>
            </w:pPr>
            <w:r w:rsidRPr="002E6A3F">
              <w:rPr>
                <w:rFonts w:cs="Arial"/>
                <w:b/>
                <w:bCs/>
                <w:sz w:val="20"/>
                <w:szCs w:val="20"/>
              </w:rPr>
              <w:t>Baseline</w:t>
            </w:r>
          </w:p>
        </w:tc>
        <w:tc>
          <w:tcPr>
            <w:tcW w:w="2563" w:type="dxa"/>
            <w:vAlign w:val="center"/>
          </w:tcPr>
          <w:p w14:paraId="5B3FED04" w14:textId="77777777" w:rsidR="00C43F15" w:rsidRPr="002E6A3F" w:rsidRDefault="00C43F15" w:rsidP="00415B28">
            <w:pPr>
              <w:jc w:val="center"/>
              <w:rPr>
                <w:sz w:val="20"/>
                <w:szCs w:val="20"/>
              </w:rPr>
            </w:pPr>
            <w:r w:rsidRPr="002E6A3F">
              <w:rPr>
                <w:rFonts w:cs="Arial"/>
                <w:b/>
                <w:bCs/>
                <w:sz w:val="20"/>
                <w:szCs w:val="20"/>
              </w:rPr>
              <w:t>Target</w:t>
            </w:r>
          </w:p>
        </w:tc>
        <w:tc>
          <w:tcPr>
            <w:tcW w:w="2551" w:type="dxa"/>
            <w:vAlign w:val="center"/>
          </w:tcPr>
          <w:p w14:paraId="3E748FD0" w14:textId="77777777" w:rsidR="00C43F15" w:rsidRPr="002E6A3F" w:rsidRDefault="00C43F15" w:rsidP="00415B28">
            <w:pPr>
              <w:jc w:val="center"/>
              <w:rPr>
                <w:sz w:val="20"/>
                <w:szCs w:val="20"/>
              </w:rPr>
            </w:pPr>
            <w:r w:rsidRPr="002E6A3F">
              <w:rPr>
                <w:rFonts w:cs="Arial"/>
                <w:b/>
                <w:bCs/>
                <w:sz w:val="20"/>
                <w:szCs w:val="20"/>
              </w:rPr>
              <w:t>Sources of Verification</w:t>
            </w:r>
          </w:p>
        </w:tc>
        <w:tc>
          <w:tcPr>
            <w:tcW w:w="1337" w:type="dxa"/>
            <w:vAlign w:val="center"/>
          </w:tcPr>
          <w:p w14:paraId="18BE04D8" w14:textId="77777777" w:rsidR="00C43F15" w:rsidRPr="002E6A3F" w:rsidRDefault="00C43F15" w:rsidP="00415B28">
            <w:pPr>
              <w:jc w:val="center"/>
              <w:rPr>
                <w:sz w:val="20"/>
                <w:szCs w:val="20"/>
              </w:rPr>
            </w:pPr>
            <w:r w:rsidRPr="002E6A3F">
              <w:rPr>
                <w:rFonts w:cs="Arial"/>
                <w:b/>
                <w:bCs/>
                <w:sz w:val="20"/>
                <w:szCs w:val="20"/>
              </w:rPr>
              <w:t>Assumptions</w:t>
            </w:r>
          </w:p>
        </w:tc>
      </w:tr>
      <w:tr w:rsidR="00C64F98" w:rsidRPr="002E6A3F" w14:paraId="661FE780" w14:textId="77777777" w:rsidTr="009A578C">
        <w:tc>
          <w:tcPr>
            <w:tcW w:w="3331" w:type="dxa"/>
          </w:tcPr>
          <w:p w14:paraId="5CE24A98" w14:textId="77777777" w:rsidR="00CD6862" w:rsidRPr="00747669" w:rsidRDefault="00CD6862" w:rsidP="00CD6862">
            <w:pPr>
              <w:shd w:val="clear" w:color="auto" w:fill="FFFFFF" w:themeFill="background1"/>
              <w:rPr>
                <w:sz w:val="20"/>
                <w:szCs w:val="20"/>
              </w:rPr>
            </w:pPr>
            <w:r w:rsidRPr="00672A4F">
              <w:rPr>
                <w:b/>
                <w:sz w:val="20"/>
                <w:szCs w:val="20"/>
              </w:rPr>
              <w:t xml:space="preserve">Outcome 2.1: </w:t>
            </w:r>
            <w:r w:rsidRPr="00747669">
              <w:rPr>
                <w:sz w:val="20"/>
                <w:szCs w:val="20"/>
              </w:rPr>
              <w:t>Regional and Global information on N cycle fluxes and impacts, enabling strategies to be implemented to minimise negative effects of excess or insufficient  reactive N, while maximising the quantified co-benefits for other sectors including the Green Economy</w:t>
            </w:r>
          </w:p>
          <w:p w14:paraId="70548F45" w14:textId="77777777" w:rsidR="00CD6862" w:rsidRPr="00747669" w:rsidRDefault="00CD6862" w:rsidP="00CD6862">
            <w:pPr>
              <w:rPr>
                <w:sz w:val="20"/>
                <w:szCs w:val="20"/>
              </w:rPr>
            </w:pPr>
          </w:p>
        </w:tc>
        <w:tc>
          <w:tcPr>
            <w:tcW w:w="1967" w:type="dxa"/>
          </w:tcPr>
          <w:p w14:paraId="5322CD67" w14:textId="43ABAAB3" w:rsidR="00CD6862" w:rsidRDefault="00CD6862" w:rsidP="00CD6862">
            <w:pPr>
              <w:rPr>
                <w:sz w:val="20"/>
                <w:szCs w:val="20"/>
              </w:rPr>
            </w:pPr>
            <w:r>
              <w:rPr>
                <w:sz w:val="20"/>
                <w:szCs w:val="20"/>
              </w:rPr>
              <w:t>Number of new strategies at national, regional or global level to mitigate excess or insufficient N</w:t>
            </w:r>
            <w:r>
              <w:rPr>
                <w:sz w:val="20"/>
                <w:szCs w:val="20"/>
                <w:vertAlign w:val="subscript"/>
              </w:rPr>
              <w:t xml:space="preserve">r </w:t>
            </w:r>
            <w:r w:rsidR="00672A4F">
              <w:rPr>
                <w:sz w:val="20"/>
                <w:szCs w:val="20"/>
              </w:rPr>
              <w:t xml:space="preserve">using information from </w:t>
            </w:r>
            <w:r>
              <w:rPr>
                <w:sz w:val="20"/>
                <w:szCs w:val="20"/>
              </w:rPr>
              <w:t xml:space="preserve">INMS </w:t>
            </w:r>
          </w:p>
          <w:p w14:paraId="612E73E3" w14:textId="77777777" w:rsidR="00CD6862" w:rsidRPr="00747669" w:rsidRDefault="00CD6862" w:rsidP="00CD6862">
            <w:pPr>
              <w:rPr>
                <w:color w:val="00B050"/>
                <w:sz w:val="20"/>
                <w:szCs w:val="20"/>
              </w:rPr>
            </w:pPr>
          </w:p>
        </w:tc>
        <w:tc>
          <w:tcPr>
            <w:tcW w:w="2199" w:type="dxa"/>
          </w:tcPr>
          <w:p w14:paraId="2BC0808D" w14:textId="77777777" w:rsidR="00CD6862" w:rsidRPr="00672A4F" w:rsidRDefault="00672A4F" w:rsidP="00CD6862">
            <w:pPr>
              <w:rPr>
                <w:color w:val="000000" w:themeColor="text1"/>
                <w:sz w:val="20"/>
                <w:szCs w:val="20"/>
              </w:rPr>
            </w:pPr>
            <w:r w:rsidRPr="00672A4F">
              <w:rPr>
                <w:color w:val="000000" w:themeColor="text1"/>
                <w:sz w:val="20"/>
                <w:szCs w:val="20"/>
              </w:rPr>
              <w:t xml:space="preserve">Current policies based on fragmented approach and facing major barriers to change. </w:t>
            </w:r>
          </w:p>
          <w:p w14:paraId="4E20C1DA" w14:textId="5AE0C5CA" w:rsidR="00672A4F" w:rsidRPr="00672A4F" w:rsidRDefault="00672A4F" w:rsidP="00672A4F">
            <w:pPr>
              <w:rPr>
                <w:color w:val="000000" w:themeColor="text1"/>
                <w:sz w:val="20"/>
                <w:szCs w:val="20"/>
              </w:rPr>
            </w:pPr>
            <w:r w:rsidRPr="00672A4F">
              <w:rPr>
                <w:color w:val="000000" w:themeColor="text1"/>
                <w:sz w:val="20"/>
                <w:szCs w:val="20"/>
              </w:rPr>
              <w:t>No coordinated source of information on the global nitrogen cycle for application in policies</w:t>
            </w:r>
          </w:p>
        </w:tc>
        <w:tc>
          <w:tcPr>
            <w:tcW w:w="2563" w:type="dxa"/>
          </w:tcPr>
          <w:p w14:paraId="0268F137" w14:textId="77777777" w:rsidR="00CD6862" w:rsidRDefault="00672A4F" w:rsidP="00CD6862">
            <w:pPr>
              <w:rPr>
                <w:sz w:val="20"/>
                <w:szCs w:val="20"/>
              </w:rPr>
            </w:pPr>
            <w:r>
              <w:rPr>
                <w:sz w:val="20"/>
                <w:szCs w:val="20"/>
              </w:rPr>
              <w:t>10 countries using INMS approaches and information to support their national policies</w:t>
            </w:r>
          </w:p>
          <w:p w14:paraId="3A2B67AE" w14:textId="77777777" w:rsidR="00672A4F" w:rsidRDefault="00672A4F" w:rsidP="00CD6862">
            <w:pPr>
              <w:rPr>
                <w:sz w:val="20"/>
                <w:szCs w:val="20"/>
              </w:rPr>
            </w:pPr>
          </w:p>
          <w:p w14:paraId="30F52A82" w14:textId="65FFF8FF" w:rsidR="00672A4F" w:rsidRPr="00747669" w:rsidRDefault="00672A4F" w:rsidP="00CD6862">
            <w:pPr>
              <w:rPr>
                <w:color w:val="00B050"/>
                <w:sz w:val="20"/>
                <w:szCs w:val="20"/>
              </w:rPr>
            </w:pPr>
            <w:r>
              <w:rPr>
                <w:sz w:val="20"/>
                <w:szCs w:val="20"/>
              </w:rPr>
              <w:t>5 countries working on developing integrated nitrogen strategies using INMS resources</w:t>
            </w:r>
          </w:p>
        </w:tc>
        <w:tc>
          <w:tcPr>
            <w:tcW w:w="2551" w:type="dxa"/>
          </w:tcPr>
          <w:p w14:paraId="2A17B6BE" w14:textId="77777777" w:rsidR="00CD6862" w:rsidRPr="00672A4F" w:rsidRDefault="00672A4F" w:rsidP="00CD6862">
            <w:pPr>
              <w:pStyle w:val="ListParagraph"/>
              <w:numPr>
                <w:ilvl w:val="0"/>
                <w:numId w:val="13"/>
              </w:numPr>
              <w:ind w:left="317"/>
              <w:rPr>
                <w:color w:val="000000" w:themeColor="text1"/>
                <w:sz w:val="20"/>
                <w:szCs w:val="20"/>
              </w:rPr>
            </w:pPr>
            <w:r w:rsidRPr="00672A4F">
              <w:rPr>
                <w:color w:val="000000" w:themeColor="text1"/>
                <w:sz w:val="20"/>
                <w:szCs w:val="20"/>
              </w:rPr>
              <w:t>National plans and documentation</w:t>
            </w:r>
          </w:p>
          <w:p w14:paraId="072EACE6" w14:textId="2F8F8B82" w:rsidR="00672A4F" w:rsidRPr="00672A4F" w:rsidRDefault="00672A4F" w:rsidP="00672A4F">
            <w:pPr>
              <w:pStyle w:val="ListParagraph"/>
              <w:numPr>
                <w:ilvl w:val="0"/>
                <w:numId w:val="13"/>
              </w:numPr>
              <w:ind w:left="317"/>
              <w:rPr>
                <w:color w:val="000000" w:themeColor="text1"/>
                <w:sz w:val="20"/>
                <w:szCs w:val="20"/>
              </w:rPr>
            </w:pPr>
            <w:r w:rsidRPr="00672A4F">
              <w:rPr>
                <w:color w:val="000000" w:themeColor="text1"/>
                <w:sz w:val="20"/>
                <w:szCs w:val="20"/>
              </w:rPr>
              <w:t>Documentation shared through multilateral environmental agreements</w:t>
            </w:r>
          </w:p>
        </w:tc>
        <w:tc>
          <w:tcPr>
            <w:tcW w:w="1337" w:type="dxa"/>
          </w:tcPr>
          <w:p w14:paraId="24AB992C" w14:textId="77777777" w:rsidR="00CD6862" w:rsidRPr="002E6A3F" w:rsidRDefault="00CD6862" w:rsidP="00CD6862">
            <w:pPr>
              <w:rPr>
                <w:sz w:val="20"/>
                <w:szCs w:val="20"/>
              </w:rPr>
            </w:pPr>
          </w:p>
        </w:tc>
      </w:tr>
      <w:tr w:rsidR="00C64F98" w:rsidRPr="00672A4F" w14:paraId="67A67E67" w14:textId="77777777" w:rsidTr="009A578C">
        <w:tc>
          <w:tcPr>
            <w:tcW w:w="3331" w:type="dxa"/>
          </w:tcPr>
          <w:p w14:paraId="71011461" w14:textId="2ADF73A5" w:rsidR="00CD6862" w:rsidRPr="00747669" w:rsidRDefault="00CD6862" w:rsidP="00CD6862">
            <w:pPr>
              <w:shd w:val="clear" w:color="auto" w:fill="FFFFFF" w:themeFill="background1"/>
              <w:rPr>
                <w:sz w:val="20"/>
                <w:szCs w:val="20"/>
              </w:rPr>
            </w:pPr>
            <w:r w:rsidRPr="00672A4F">
              <w:rPr>
                <w:b/>
                <w:sz w:val="20"/>
                <w:szCs w:val="20"/>
              </w:rPr>
              <w:t>Output 2.1:</w:t>
            </w:r>
            <w:r w:rsidRPr="00747669">
              <w:rPr>
                <w:sz w:val="20"/>
                <w:szCs w:val="20"/>
              </w:rPr>
              <w:t xml:space="preserve"> Quantification &amp; assessment of the regional threats from excess N and insufficient N</w:t>
            </w:r>
          </w:p>
          <w:p w14:paraId="5177C93E" w14:textId="77777777" w:rsidR="00CD6862" w:rsidRPr="00747669" w:rsidRDefault="00CD6862" w:rsidP="00CD6862">
            <w:pPr>
              <w:shd w:val="clear" w:color="auto" w:fill="FFFFFF" w:themeFill="background1"/>
              <w:rPr>
                <w:sz w:val="20"/>
                <w:szCs w:val="20"/>
              </w:rPr>
            </w:pPr>
          </w:p>
        </w:tc>
        <w:tc>
          <w:tcPr>
            <w:tcW w:w="1967" w:type="dxa"/>
          </w:tcPr>
          <w:p w14:paraId="120A4481" w14:textId="38BBA415" w:rsidR="00CD6862" w:rsidRPr="00672A4F" w:rsidRDefault="00CD6862" w:rsidP="00CD6862">
            <w:pPr>
              <w:rPr>
                <w:color w:val="000000" w:themeColor="text1"/>
                <w:sz w:val="20"/>
                <w:szCs w:val="20"/>
              </w:rPr>
            </w:pPr>
            <w:r w:rsidRPr="00672A4F">
              <w:rPr>
                <w:color w:val="000000" w:themeColor="text1"/>
                <w:sz w:val="20"/>
                <w:szCs w:val="20"/>
              </w:rPr>
              <w:t>Data and r</w:t>
            </w:r>
            <w:r w:rsidR="00672A4F" w:rsidRPr="00672A4F">
              <w:rPr>
                <w:color w:val="000000" w:themeColor="text1"/>
                <w:sz w:val="20"/>
                <w:szCs w:val="20"/>
              </w:rPr>
              <w:t>eports to support regional demonstrations</w:t>
            </w:r>
          </w:p>
          <w:p w14:paraId="2EF2C76E" w14:textId="77777777" w:rsidR="00CD6862" w:rsidRPr="00672A4F" w:rsidRDefault="00CD6862" w:rsidP="00CD6862">
            <w:pPr>
              <w:rPr>
                <w:color w:val="000000" w:themeColor="text1"/>
                <w:sz w:val="20"/>
                <w:szCs w:val="20"/>
              </w:rPr>
            </w:pPr>
          </w:p>
          <w:p w14:paraId="7B704109" w14:textId="2CAA04D9" w:rsidR="00CD6862" w:rsidRPr="00672A4F" w:rsidRDefault="00672A4F" w:rsidP="00672A4F">
            <w:pPr>
              <w:rPr>
                <w:color w:val="000000" w:themeColor="text1"/>
                <w:sz w:val="20"/>
                <w:szCs w:val="20"/>
              </w:rPr>
            </w:pPr>
            <w:r w:rsidRPr="00672A4F">
              <w:rPr>
                <w:color w:val="000000" w:themeColor="text1"/>
                <w:sz w:val="20"/>
                <w:szCs w:val="20"/>
              </w:rPr>
              <w:t>Use of INMS results informing decision making by policy, business and civil society</w:t>
            </w:r>
          </w:p>
        </w:tc>
        <w:tc>
          <w:tcPr>
            <w:tcW w:w="2199" w:type="dxa"/>
          </w:tcPr>
          <w:p w14:paraId="1188B1DB" w14:textId="77777777" w:rsidR="00CD6862" w:rsidRPr="00672A4F" w:rsidRDefault="00672A4F" w:rsidP="00CD6862">
            <w:pPr>
              <w:rPr>
                <w:color w:val="000000" w:themeColor="text1"/>
                <w:sz w:val="20"/>
                <w:szCs w:val="20"/>
              </w:rPr>
            </w:pPr>
            <w:r w:rsidRPr="00672A4F">
              <w:rPr>
                <w:color w:val="000000" w:themeColor="text1"/>
                <w:sz w:val="20"/>
                <w:szCs w:val="20"/>
              </w:rPr>
              <w:t>Lack of agreement on approaches.</w:t>
            </w:r>
          </w:p>
          <w:p w14:paraId="1C7BFD98" w14:textId="7BA5C5CF" w:rsidR="00672A4F" w:rsidRPr="00672A4F" w:rsidRDefault="00672A4F" w:rsidP="00CD6862">
            <w:pPr>
              <w:rPr>
                <w:color w:val="000000" w:themeColor="text1"/>
                <w:sz w:val="20"/>
                <w:szCs w:val="20"/>
              </w:rPr>
            </w:pPr>
            <w:r w:rsidRPr="00672A4F">
              <w:rPr>
                <w:color w:val="000000" w:themeColor="text1"/>
                <w:sz w:val="20"/>
                <w:szCs w:val="20"/>
              </w:rPr>
              <w:t>Lack of globally coherent picture across the nitrogen cycle and its multiple impacts.</w:t>
            </w:r>
          </w:p>
        </w:tc>
        <w:tc>
          <w:tcPr>
            <w:tcW w:w="2563" w:type="dxa"/>
          </w:tcPr>
          <w:p w14:paraId="0BA4E3B4" w14:textId="77777777" w:rsidR="00CD6862" w:rsidRPr="00672A4F" w:rsidRDefault="00CD6862" w:rsidP="00CD6862">
            <w:pPr>
              <w:pStyle w:val="ListParagraph"/>
              <w:numPr>
                <w:ilvl w:val="0"/>
                <w:numId w:val="14"/>
              </w:numPr>
              <w:ind w:left="317"/>
              <w:rPr>
                <w:color w:val="000000" w:themeColor="text1"/>
                <w:sz w:val="20"/>
                <w:szCs w:val="20"/>
              </w:rPr>
            </w:pPr>
            <w:r w:rsidRPr="00672A4F">
              <w:rPr>
                <w:color w:val="000000" w:themeColor="text1"/>
                <w:sz w:val="20"/>
                <w:szCs w:val="20"/>
              </w:rPr>
              <w:t>Support to regional demos with inventory expertise and models</w:t>
            </w:r>
          </w:p>
          <w:p w14:paraId="62CF60EC" w14:textId="48DEB4B4" w:rsidR="00672A4F" w:rsidRPr="00672A4F" w:rsidRDefault="00672A4F" w:rsidP="00672A4F">
            <w:pPr>
              <w:pStyle w:val="ListParagraph"/>
              <w:numPr>
                <w:ilvl w:val="0"/>
                <w:numId w:val="13"/>
              </w:numPr>
              <w:ind w:left="317"/>
              <w:rPr>
                <w:color w:val="000000" w:themeColor="text1"/>
                <w:sz w:val="20"/>
                <w:szCs w:val="20"/>
              </w:rPr>
            </w:pPr>
            <w:r>
              <w:rPr>
                <w:color w:val="000000" w:themeColor="text1"/>
                <w:sz w:val="20"/>
                <w:szCs w:val="20"/>
              </w:rPr>
              <w:t xml:space="preserve">Demonstrated comparison of </w:t>
            </w:r>
            <w:r w:rsidR="00CD6862" w:rsidRPr="00672A4F">
              <w:rPr>
                <w:color w:val="000000" w:themeColor="text1"/>
                <w:sz w:val="20"/>
                <w:szCs w:val="20"/>
              </w:rPr>
              <w:t xml:space="preserve">current situation and future scenarios </w:t>
            </w:r>
            <w:r>
              <w:rPr>
                <w:color w:val="000000" w:themeColor="text1"/>
                <w:sz w:val="20"/>
                <w:szCs w:val="20"/>
              </w:rPr>
              <w:t xml:space="preserve">for </w:t>
            </w:r>
            <w:r w:rsidR="00CD6862" w:rsidRPr="00672A4F">
              <w:rPr>
                <w:color w:val="000000" w:themeColor="text1"/>
                <w:sz w:val="20"/>
                <w:szCs w:val="20"/>
              </w:rPr>
              <w:t>N threats</w:t>
            </w:r>
            <w:r w:rsidRPr="00672A4F">
              <w:rPr>
                <w:color w:val="000000" w:themeColor="text1"/>
                <w:sz w:val="20"/>
                <w:szCs w:val="20"/>
              </w:rPr>
              <w:t xml:space="preserve"> and benefits</w:t>
            </w:r>
          </w:p>
          <w:p w14:paraId="6F9281DF" w14:textId="776A9A04" w:rsidR="00672A4F" w:rsidRPr="00672A4F" w:rsidRDefault="00672A4F" w:rsidP="00672A4F">
            <w:pPr>
              <w:pStyle w:val="ListParagraph"/>
              <w:numPr>
                <w:ilvl w:val="0"/>
                <w:numId w:val="13"/>
              </w:numPr>
              <w:ind w:left="317"/>
              <w:rPr>
                <w:color w:val="000000" w:themeColor="text1"/>
                <w:sz w:val="20"/>
                <w:szCs w:val="20"/>
              </w:rPr>
            </w:pPr>
            <w:r w:rsidRPr="00672A4F">
              <w:rPr>
                <w:color w:val="000000" w:themeColor="text1"/>
                <w:sz w:val="20"/>
                <w:szCs w:val="20"/>
              </w:rPr>
              <w:t>Regional/global approaches incorporated into high profile global assessment</w:t>
            </w:r>
          </w:p>
        </w:tc>
        <w:tc>
          <w:tcPr>
            <w:tcW w:w="2551" w:type="dxa"/>
          </w:tcPr>
          <w:p w14:paraId="377DA56B" w14:textId="6AC258DA" w:rsidR="00CD6862" w:rsidRDefault="00C64F98" w:rsidP="00CD6862">
            <w:pPr>
              <w:pStyle w:val="ListParagraph"/>
              <w:numPr>
                <w:ilvl w:val="0"/>
                <w:numId w:val="13"/>
              </w:numPr>
              <w:ind w:left="317"/>
              <w:rPr>
                <w:color w:val="000000" w:themeColor="text1"/>
                <w:sz w:val="20"/>
                <w:szCs w:val="20"/>
              </w:rPr>
            </w:pPr>
            <w:r>
              <w:rPr>
                <w:color w:val="000000" w:themeColor="text1"/>
                <w:sz w:val="20"/>
                <w:szCs w:val="20"/>
              </w:rPr>
              <w:t>High visibility global assessment delivered.</w:t>
            </w:r>
          </w:p>
          <w:p w14:paraId="28B39067" w14:textId="1A46C437" w:rsidR="00C64F98" w:rsidRDefault="00C64F98" w:rsidP="00CD6862">
            <w:pPr>
              <w:pStyle w:val="ListParagraph"/>
              <w:numPr>
                <w:ilvl w:val="0"/>
                <w:numId w:val="13"/>
              </w:numPr>
              <w:ind w:left="317"/>
              <w:rPr>
                <w:color w:val="000000" w:themeColor="text1"/>
                <w:sz w:val="20"/>
                <w:szCs w:val="20"/>
              </w:rPr>
            </w:pPr>
            <w:r>
              <w:rPr>
                <w:color w:val="000000" w:themeColor="text1"/>
                <w:sz w:val="20"/>
                <w:szCs w:val="20"/>
              </w:rPr>
              <w:t>Guidance documentation on N management delivered</w:t>
            </w:r>
          </w:p>
          <w:p w14:paraId="1940BB89" w14:textId="77777777" w:rsidR="00C64F98" w:rsidRDefault="00C64F98" w:rsidP="00CD6862">
            <w:pPr>
              <w:pStyle w:val="ListParagraph"/>
              <w:numPr>
                <w:ilvl w:val="0"/>
                <w:numId w:val="13"/>
              </w:numPr>
              <w:ind w:left="317"/>
              <w:rPr>
                <w:color w:val="000000" w:themeColor="text1"/>
                <w:sz w:val="20"/>
                <w:szCs w:val="20"/>
              </w:rPr>
            </w:pPr>
            <w:r>
              <w:rPr>
                <w:color w:val="000000" w:themeColor="text1"/>
                <w:sz w:val="20"/>
                <w:szCs w:val="20"/>
              </w:rPr>
              <w:t>Costs benefit analysis delivered</w:t>
            </w:r>
          </w:p>
          <w:p w14:paraId="0B365D3F" w14:textId="28EC34E0" w:rsidR="00C64F98" w:rsidRDefault="00C64F98" w:rsidP="00CD6862">
            <w:pPr>
              <w:pStyle w:val="ListParagraph"/>
              <w:numPr>
                <w:ilvl w:val="0"/>
                <w:numId w:val="13"/>
              </w:numPr>
              <w:ind w:left="317"/>
              <w:rPr>
                <w:color w:val="000000" w:themeColor="text1"/>
                <w:sz w:val="20"/>
                <w:szCs w:val="20"/>
              </w:rPr>
            </w:pPr>
            <w:r>
              <w:rPr>
                <w:color w:val="000000" w:themeColor="text1"/>
                <w:sz w:val="20"/>
                <w:szCs w:val="20"/>
              </w:rPr>
              <w:t>Modelling results reported for present and future conditions</w:t>
            </w:r>
          </w:p>
          <w:p w14:paraId="67A63EE7" w14:textId="08B550F1" w:rsidR="00C64F98" w:rsidRPr="00672A4F" w:rsidRDefault="00C64F98" w:rsidP="00CD6862">
            <w:pPr>
              <w:pStyle w:val="ListParagraph"/>
              <w:numPr>
                <w:ilvl w:val="0"/>
                <w:numId w:val="13"/>
              </w:numPr>
              <w:ind w:left="317"/>
              <w:rPr>
                <w:color w:val="000000" w:themeColor="text1"/>
                <w:sz w:val="20"/>
                <w:szCs w:val="20"/>
              </w:rPr>
            </w:pPr>
            <w:r>
              <w:rPr>
                <w:color w:val="000000" w:themeColor="text1"/>
                <w:sz w:val="20"/>
                <w:szCs w:val="20"/>
              </w:rPr>
              <w:t>Independent documentation shows take up of results</w:t>
            </w:r>
          </w:p>
        </w:tc>
        <w:tc>
          <w:tcPr>
            <w:tcW w:w="1337" w:type="dxa"/>
          </w:tcPr>
          <w:p w14:paraId="6FC8064C" w14:textId="77777777" w:rsidR="00CD6862" w:rsidRPr="00672A4F" w:rsidRDefault="00CD6862" w:rsidP="00CD6862">
            <w:pPr>
              <w:rPr>
                <w:color w:val="000000" w:themeColor="text1"/>
                <w:sz w:val="20"/>
                <w:szCs w:val="20"/>
              </w:rPr>
            </w:pPr>
          </w:p>
        </w:tc>
      </w:tr>
      <w:tr w:rsidR="00C64F98" w:rsidRPr="00C64F98" w14:paraId="690FD4FB" w14:textId="77777777" w:rsidTr="009A578C">
        <w:tc>
          <w:tcPr>
            <w:tcW w:w="3331" w:type="dxa"/>
          </w:tcPr>
          <w:p w14:paraId="794C2BBA" w14:textId="3FA3FA1A" w:rsidR="00CD6862" w:rsidRPr="00C64F98" w:rsidRDefault="00CD6862" w:rsidP="00CD6862">
            <w:pPr>
              <w:shd w:val="clear" w:color="auto" w:fill="FFFFFF" w:themeFill="background1"/>
              <w:rPr>
                <w:color w:val="000000" w:themeColor="text1"/>
                <w:sz w:val="20"/>
                <w:szCs w:val="20"/>
              </w:rPr>
            </w:pPr>
            <w:r w:rsidRPr="00C64F98">
              <w:rPr>
                <w:b/>
                <w:color w:val="000000" w:themeColor="text1"/>
                <w:sz w:val="20"/>
                <w:szCs w:val="20"/>
              </w:rPr>
              <w:t>Output 2.2:</w:t>
            </w:r>
            <w:r w:rsidRPr="00C64F98">
              <w:rPr>
                <w:color w:val="000000" w:themeColor="text1"/>
                <w:sz w:val="20"/>
                <w:szCs w:val="20"/>
              </w:rPr>
              <w:t xml:space="preserve"> Detailed overview of regional/local N flux and consolidation into a global assessment of N fluxes and pathways</w:t>
            </w:r>
          </w:p>
          <w:p w14:paraId="7A367780" w14:textId="77777777" w:rsidR="00CD6862" w:rsidRPr="00C64F98" w:rsidRDefault="00CD6862" w:rsidP="00CD6862">
            <w:pPr>
              <w:shd w:val="clear" w:color="auto" w:fill="FFFFFF" w:themeFill="background1"/>
              <w:rPr>
                <w:color w:val="000000" w:themeColor="text1"/>
                <w:sz w:val="20"/>
                <w:szCs w:val="20"/>
              </w:rPr>
            </w:pPr>
          </w:p>
        </w:tc>
        <w:tc>
          <w:tcPr>
            <w:tcW w:w="1967" w:type="dxa"/>
          </w:tcPr>
          <w:p w14:paraId="1693704D" w14:textId="2D872985" w:rsidR="00CD6862" w:rsidRPr="00C64F98" w:rsidRDefault="00CD6862" w:rsidP="00CD6862">
            <w:pPr>
              <w:rPr>
                <w:color w:val="000000" w:themeColor="text1"/>
                <w:sz w:val="20"/>
                <w:szCs w:val="20"/>
              </w:rPr>
            </w:pPr>
            <w:r w:rsidRPr="00C64F98">
              <w:rPr>
                <w:color w:val="000000" w:themeColor="text1"/>
                <w:sz w:val="20"/>
                <w:szCs w:val="20"/>
              </w:rPr>
              <w:t>Completion of regional assessments of N fluxes, including impacts and lessons from demos</w:t>
            </w:r>
          </w:p>
        </w:tc>
        <w:tc>
          <w:tcPr>
            <w:tcW w:w="2199" w:type="dxa"/>
          </w:tcPr>
          <w:p w14:paraId="3147E4C2" w14:textId="5A02E12A" w:rsidR="00CD6862" w:rsidRPr="00C64F98" w:rsidRDefault="00C64F98" w:rsidP="00C64F98">
            <w:pPr>
              <w:rPr>
                <w:color w:val="000000" w:themeColor="text1"/>
                <w:sz w:val="20"/>
                <w:szCs w:val="20"/>
              </w:rPr>
            </w:pPr>
            <w:r w:rsidRPr="00C64F98">
              <w:rPr>
                <w:color w:val="000000" w:themeColor="text1"/>
                <w:sz w:val="20"/>
                <w:szCs w:val="20"/>
              </w:rPr>
              <w:t xml:space="preserve">Some regional assessments </w:t>
            </w:r>
            <w:r>
              <w:rPr>
                <w:color w:val="000000" w:themeColor="text1"/>
                <w:sz w:val="20"/>
                <w:szCs w:val="20"/>
              </w:rPr>
              <w:t xml:space="preserve">existing, </w:t>
            </w:r>
            <w:r w:rsidRPr="00C64F98">
              <w:rPr>
                <w:color w:val="000000" w:themeColor="text1"/>
                <w:sz w:val="20"/>
                <w:szCs w:val="20"/>
              </w:rPr>
              <w:t xml:space="preserve">but not available for most regions. </w:t>
            </w:r>
          </w:p>
        </w:tc>
        <w:tc>
          <w:tcPr>
            <w:tcW w:w="2563" w:type="dxa"/>
          </w:tcPr>
          <w:p w14:paraId="1416895D" w14:textId="77777777" w:rsidR="00CD6862" w:rsidRPr="00C64F98" w:rsidRDefault="00CD6862" w:rsidP="00CD6862">
            <w:pPr>
              <w:pStyle w:val="ListParagraph"/>
              <w:numPr>
                <w:ilvl w:val="0"/>
                <w:numId w:val="14"/>
              </w:numPr>
              <w:ind w:left="317"/>
              <w:rPr>
                <w:color w:val="000000" w:themeColor="text1"/>
                <w:sz w:val="20"/>
                <w:szCs w:val="20"/>
              </w:rPr>
            </w:pPr>
            <w:r w:rsidRPr="00C64F98">
              <w:rPr>
                <w:color w:val="000000" w:themeColor="text1"/>
                <w:sz w:val="20"/>
                <w:szCs w:val="20"/>
              </w:rPr>
              <w:t>Agreed scope &amp; outline of global assessment of N fluxes etc.</w:t>
            </w:r>
          </w:p>
          <w:p w14:paraId="3FA07A8B" w14:textId="7840D871" w:rsidR="00CD6862" w:rsidRPr="00C64F98" w:rsidRDefault="00CD6862" w:rsidP="00CD6862">
            <w:pPr>
              <w:pStyle w:val="ListParagraph"/>
              <w:numPr>
                <w:ilvl w:val="0"/>
                <w:numId w:val="14"/>
              </w:numPr>
              <w:ind w:left="317"/>
              <w:rPr>
                <w:color w:val="000000" w:themeColor="text1"/>
                <w:sz w:val="20"/>
                <w:szCs w:val="20"/>
              </w:rPr>
            </w:pPr>
            <w:r w:rsidRPr="00C64F98">
              <w:rPr>
                <w:color w:val="000000" w:themeColor="text1"/>
                <w:sz w:val="20"/>
                <w:szCs w:val="20"/>
              </w:rPr>
              <w:t xml:space="preserve">Commissioned experts </w:t>
            </w:r>
            <w:r w:rsidR="00C64F98">
              <w:rPr>
                <w:color w:val="000000" w:themeColor="text1"/>
                <w:sz w:val="20"/>
                <w:szCs w:val="20"/>
              </w:rPr>
              <w:t xml:space="preserve">delivered high quality </w:t>
            </w:r>
            <w:r w:rsidR="00C64F98">
              <w:rPr>
                <w:color w:val="000000" w:themeColor="text1"/>
                <w:sz w:val="20"/>
                <w:szCs w:val="20"/>
              </w:rPr>
              <w:lastRenderedPageBreak/>
              <w:t>chapters passing peer review</w:t>
            </w:r>
          </w:p>
          <w:p w14:paraId="0A8A0476" w14:textId="77777777" w:rsidR="00CD6862" w:rsidRPr="00C64F98" w:rsidRDefault="00CD6862" w:rsidP="00CD6862">
            <w:pPr>
              <w:pStyle w:val="ListParagraph"/>
              <w:numPr>
                <w:ilvl w:val="0"/>
                <w:numId w:val="14"/>
              </w:numPr>
              <w:ind w:left="317"/>
              <w:rPr>
                <w:color w:val="000000" w:themeColor="text1"/>
                <w:sz w:val="20"/>
                <w:szCs w:val="20"/>
              </w:rPr>
            </w:pPr>
            <w:r w:rsidRPr="00C64F98">
              <w:rPr>
                <w:color w:val="000000" w:themeColor="text1"/>
                <w:sz w:val="20"/>
                <w:szCs w:val="20"/>
              </w:rPr>
              <w:t>Review of chapters by SPAG, GA and other stakeholders (Yr. 4)</w:t>
            </w:r>
          </w:p>
          <w:p w14:paraId="1826EB53" w14:textId="6BD9CDCC" w:rsidR="00CD6862" w:rsidRPr="00C64F98" w:rsidRDefault="00CD6862" w:rsidP="00CD6862">
            <w:pPr>
              <w:pStyle w:val="ListParagraph"/>
              <w:numPr>
                <w:ilvl w:val="0"/>
                <w:numId w:val="13"/>
              </w:numPr>
              <w:ind w:left="317"/>
              <w:rPr>
                <w:color w:val="000000" w:themeColor="text1"/>
                <w:sz w:val="20"/>
                <w:szCs w:val="20"/>
              </w:rPr>
            </w:pPr>
            <w:r w:rsidRPr="00C64F98">
              <w:rPr>
                <w:color w:val="000000" w:themeColor="text1"/>
                <w:sz w:val="20"/>
                <w:szCs w:val="20"/>
              </w:rPr>
              <w:t>Global assessment report published for wider public dissemination (Yr 4)</w:t>
            </w:r>
          </w:p>
        </w:tc>
        <w:tc>
          <w:tcPr>
            <w:tcW w:w="2551" w:type="dxa"/>
          </w:tcPr>
          <w:p w14:paraId="2DBF5B54" w14:textId="23333AF2" w:rsidR="00C64F98" w:rsidRDefault="00C64F98" w:rsidP="00C64F98">
            <w:pPr>
              <w:pStyle w:val="ListParagraph"/>
              <w:numPr>
                <w:ilvl w:val="0"/>
                <w:numId w:val="13"/>
              </w:numPr>
              <w:ind w:left="317"/>
              <w:rPr>
                <w:color w:val="000000" w:themeColor="text1"/>
                <w:sz w:val="20"/>
                <w:szCs w:val="20"/>
              </w:rPr>
            </w:pPr>
            <w:r>
              <w:rPr>
                <w:color w:val="000000" w:themeColor="text1"/>
                <w:sz w:val="20"/>
                <w:szCs w:val="20"/>
              </w:rPr>
              <w:lastRenderedPageBreak/>
              <w:t>Scoping document shared with partners and external review</w:t>
            </w:r>
          </w:p>
          <w:p w14:paraId="642269DD" w14:textId="77777777" w:rsidR="00CD6862" w:rsidRDefault="00C64F98" w:rsidP="00C64F98">
            <w:pPr>
              <w:pStyle w:val="ListParagraph"/>
              <w:numPr>
                <w:ilvl w:val="0"/>
                <w:numId w:val="13"/>
              </w:numPr>
              <w:ind w:left="317"/>
              <w:rPr>
                <w:color w:val="000000" w:themeColor="text1"/>
                <w:sz w:val="20"/>
                <w:szCs w:val="20"/>
              </w:rPr>
            </w:pPr>
            <w:r>
              <w:rPr>
                <w:color w:val="000000" w:themeColor="text1"/>
                <w:sz w:val="20"/>
                <w:szCs w:val="20"/>
              </w:rPr>
              <w:t>Assessment chapters delivered for peer review</w:t>
            </w:r>
          </w:p>
          <w:p w14:paraId="0F37F4DE" w14:textId="77777777" w:rsidR="00C64F98" w:rsidRDefault="00C64F98" w:rsidP="00C64F98">
            <w:pPr>
              <w:pStyle w:val="ListParagraph"/>
              <w:numPr>
                <w:ilvl w:val="0"/>
                <w:numId w:val="13"/>
              </w:numPr>
              <w:ind w:left="317"/>
              <w:rPr>
                <w:color w:val="000000" w:themeColor="text1"/>
                <w:sz w:val="20"/>
                <w:szCs w:val="20"/>
              </w:rPr>
            </w:pPr>
            <w:r>
              <w:rPr>
                <w:color w:val="000000" w:themeColor="text1"/>
                <w:sz w:val="20"/>
                <w:szCs w:val="20"/>
              </w:rPr>
              <w:lastRenderedPageBreak/>
              <w:t>Modelling and scenario outcomes and delivered and reported</w:t>
            </w:r>
          </w:p>
          <w:p w14:paraId="48C8F142" w14:textId="77777777" w:rsidR="00C64F98" w:rsidRDefault="00C64F98" w:rsidP="00C64F98">
            <w:pPr>
              <w:pStyle w:val="ListParagraph"/>
              <w:numPr>
                <w:ilvl w:val="0"/>
                <w:numId w:val="13"/>
              </w:numPr>
              <w:ind w:left="317"/>
              <w:rPr>
                <w:color w:val="000000" w:themeColor="text1"/>
                <w:sz w:val="20"/>
                <w:szCs w:val="20"/>
              </w:rPr>
            </w:pPr>
            <w:r>
              <w:rPr>
                <w:color w:val="000000" w:themeColor="text1"/>
                <w:sz w:val="20"/>
                <w:szCs w:val="20"/>
              </w:rPr>
              <w:t>Body of evidence on success stories and challenges shared</w:t>
            </w:r>
          </w:p>
          <w:p w14:paraId="281E96B6" w14:textId="1F745984" w:rsidR="00C64F98" w:rsidRPr="00C64F98" w:rsidRDefault="00C64F98" w:rsidP="00C64F98">
            <w:pPr>
              <w:pStyle w:val="ListParagraph"/>
              <w:numPr>
                <w:ilvl w:val="0"/>
                <w:numId w:val="13"/>
              </w:numPr>
              <w:ind w:left="317"/>
              <w:rPr>
                <w:color w:val="000000" w:themeColor="text1"/>
                <w:sz w:val="20"/>
                <w:szCs w:val="20"/>
              </w:rPr>
            </w:pPr>
            <w:r>
              <w:rPr>
                <w:color w:val="000000" w:themeColor="text1"/>
                <w:sz w:val="20"/>
                <w:szCs w:val="20"/>
              </w:rPr>
              <w:t>At least 5 international policy processes using the results</w:t>
            </w:r>
          </w:p>
        </w:tc>
        <w:tc>
          <w:tcPr>
            <w:tcW w:w="1337" w:type="dxa"/>
          </w:tcPr>
          <w:p w14:paraId="38888980" w14:textId="77777777" w:rsidR="00CD6862" w:rsidRPr="00C64F98" w:rsidRDefault="00CD6862" w:rsidP="00CD6862">
            <w:pPr>
              <w:rPr>
                <w:color w:val="000000" w:themeColor="text1"/>
                <w:sz w:val="20"/>
                <w:szCs w:val="20"/>
              </w:rPr>
            </w:pPr>
          </w:p>
        </w:tc>
      </w:tr>
      <w:tr w:rsidR="00C64F98" w:rsidRPr="00C64F98" w14:paraId="1ED4114D" w14:textId="77777777" w:rsidTr="009A578C">
        <w:tc>
          <w:tcPr>
            <w:tcW w:w="3331" w:type="dxa"/>
          </w:tcPr>
          <w:p w14:paraId="1F6A8717" w14:textId="0564A5A8" w:rsidR="00CD6862" w:rsidRPr="00C64F98" w:rsidRDefault="00CD6862" w:rsidP="00CD6862">
            <w:pPr>
              <w:shd w:val="clear" w:color="auto" w:fill="FFFFFF" w:themeFill="background1"/>
              <w:rPr>
                <w:color w:val="000000" w:themeColor="text1"/>
                <w:sz w:val="20"/>
                <w:szCs w:val="20"/>
              </w:rPr>
            </w:pPr>
            <w:r w:rsidRPr="00C64F98">
              <w:rPr>
                <w:b/>
                <w:color w:val="000000" w:themeColor="text1"/>
                <w:sz w:val="20"/>
                <w:szCs w:val="20"/>
              </w:rPr>
              <w:lastRenderedPageBreak/>
              <w:t>Output 2.3:</w:t>
            </w:r>
            <w:r w:rsidRPr="00C64F98">
              <w:rPr>
                <w:color w:val="000000" w:themeColor="text1"/>
                <w:sz w:val="20"/>
                <w:szCs w:val="20"/>
              </w:rPr>
              <w:t xml:space="preserve"> Consolidation of methods and good practices to address issues of excess and insufficient </w:t>
            </w:r>
            <w:r w:rsidR="00C64F98" w:rsidRPr="00C64F98">
              <w:rPr>
                <w:color w:val="000000" w:themeColor="text1"/>
                <w:sz w:val="20"/>
                <w:szCs w:val="20"/>
              </w:rPr>
              <w:t>nitrogen</w:t>
            </w:r>
          </w:p>
          <w:p w14:paraId="54CD3207" w14:textId="77777777" w:rsidR="00CD6862" w:rsidRPr="00C64F98" w:rsidRDefault="00CD6862" w:rsidP="00CD6862">
            <w:pPr>
              <w:shd w:val="clear" w:color="auto" w:fill="FFFFFF" w:themeFill="background1"/>
              <w:rPr>
                <w:color w:val="000000" w:themeColor="text1"/>
                <w:sz w:val="20"/>
                <w:szCs w:val="20"/>
              </w:rPr>
            </w:pPr>
          </w:p>
        </w:tc>
        <w:tc>
          <w:tcPr>
            <w:tcW w:w="1967" w:type="dxa"/>
          </w:tcPr>
          <w:p w14:paraId="5F052AFB" w14:textId="5F69A86E" w:rsidR="00CD6862" w:rsidRPr="00C64F98" w:rsidRDefault="00CD6862" w:rsidP="00CD6862">
            <w:pPr>
              <w:rPr>
                <w:color w:val="000000" w:themeColor="text1"/>
                <w:sz w:val="20"/>
                <w:szCs w:val="20"/>
              </w:rPr>
            </w:pPr>
            <w:r w:rsidRPr="00C64F98">
              <w:rPr>
                <w:color w:val="000000" w:themeColor="text1"/>
                <w:sz w:val="20"/>
                <w:szCs w:val="20"/>
              </w:rPr>
              <w:t>Specific reports published to support addressing excess and insufficient N</w:t>
            </w:r>
          </w:p>
        </w:tc>
        <w:tc>
          <w:tcPr>
            <w:tcW w:w="2199" w:type="dxa"/>
          </w:tcPr>
          <w:p w14:paraId="644EC35C" w14:textId="33551D01" w:rsidR="00CD6862" w:rsidRPr="00C64F98" w:rsidRDefault="00C64F98" w:rsidP="00CD6862">
            <w:pPr>
              <w:rPr>
                <w:color w:val="000000" w:themeColor="text1"/>
                <w:sz w:val="20"/>
                <w:szCs w:val="20"/>
              </w:rPr>
            </w:pPr>
            <w:r>
              <w:rPr>
                <w:color w:val="000000" w:themeColor="text1"/>
                <w:sz w:val="20"/>
                <w:szCs w:val="20"/>
              </w:rPr>
              <w:t>Available guidance documentation only available for fragmented sets of issues, N forms and effects</w:t>
            </w:r>
          </w:p>
        </w:tc>
        <w:tc>
          <w:tcPr>
            <w:tcW w:w="2563" w:type="dxa"/>
          </w:tcPr>
          <w:p w14:paraId="79B63936" w14:textId="21A8FCFB" w:rsidR="00CD6862" w:rsidRPr="00C64F98" w:rsidRDefault="00CD6862" w:rsidP="00CD6862">
            <w:pPr>
              <w:pStyle w:val="ListParagraph"/>
              <w:numPr>
                <w:ilvl w:val="0"/>
                <w:numId w:val="14"/>
              </w:numPr>
              <w:ind w:left="317"/>
              <w:rPr>
                <w:color w:val="000000" w:themeColor="text1"/>
                <w:sz w:val="20"/>
                <w:szCs w:val="20"/>
              </w:rPr>
            </w:pPr>
            <w:r w:rsidRPr="00C64F98">
              <w:rPr>
                <w:color w:val="000000" w:themeColor="text1"/>
                <w:sz w:val="20"/>
                <w:szCs w:val="20"/>
              </w:rPr>
              <w:t xml:space="preserve">Background docs for workshop </w:t>
            </w:r>
            <w:r w:rsidR="00C64F98">
              <w:rPr>
                <w:color w:val="000000" w:themeColor="text1"/>
                <w:sz w:val="20"/>
                <w:szCs w:val="20"/>
              </w:rPr>
              <w:t>(Year 2)</w:t>
            </w:r>
          </w:p>
          <w:p w14:paraId="5EBDC51A" w14:textId="42D4D0C1" w:rsidR="00CD6862" w:rsidRPr="00C64F98" w:rsidRDefault="00CD6862" w:rsidP="00CD6862">
            <w:pPr>
              <w:pStyle w:val="ListParagraph"/>
              <w:numPr>
                <w:ilvl w:val="0"/>
                <w:numId w:val="14"/>
              </w:numPr>
              <w:ind w:left="317"/>
              <w:rPr>
                <w:color w:val="000000" w:themeColor="text1"/>
                <w:sz w:val="20"/>
                <w:szCs w:val="20"/>
              </w:rPr>
            </w:pPr>
            <w:r w:rsidRPr="00C64F98">
              <w:rPr>
                <w:color w:val="000000" w:themeColor="text1"/>
                <w:sz w:val="20"/>
                <w:szCs w:val="20"/>
              </w:rPr>
              <w:t>Workshop (</w:t>
            </w:r>
            <w:r w:rsidR="008748F0">
              <w:rPr>
                <w:color w:val="000000" w:themeColor="text1"/>
                <w:sz w:val="20"/>
                <w:szCs w:val="20"/>
              </w:rPr>
              <w:t>5</w:t>
            </w:r>
            <w:r w:rsidRPr="00C64F98">
              <w:rPr>
                <w:color w:val="000000" w:themeColor="text1"/>
                <w:sz w:val="20"/>
                <w:szCs w:val="20"/>
              </w:rPr>
              <w:t xml:space="preserve">0 participants) </w:t>
            </w:r>
            <w:r w:rsidR="008748F0">
              <w:rPr>
                <w:color w:val="000000" w:themeColor="text1"/>
                <w:sz w:val="20"/>
                <w:szCs w:val="20"/>
              </w:rPr>
              <w:t xml:space="preserve">methods for N management and mitigation </w:t>
            </w:r>
            <w:r w:rsidRPr="00C64F98">
              <w:rPr>
                <w:color w:val="000000" w:themeColor="text1"/>
                <w:sz w:val="20"/>
                <w:szCs w:val="20"/>
              </w:rPr>
              <w:t xml:space="preserve">(Yr </w:t>
            </w:r>
            <w:r w:rsidR="00C64F98">
              <w:rPr>
                <w:color w:val="000000" w:themeColor="text1"/>
                <w:sz w:val="20"/>
                <w:szCs w:val="20"/>
              </w:rPr>
              <w:t>3</w:t>
            </w:r>
            <w:r w:rsidRPr="00C64F98">
              <w:rPr>
                <w:color w:val="000000" w:themeColor="text1"/>
                <w:sz w:val="20"/>
                <w:szCs w:val="20"/>
              </w:rPr>
              <w:t>)</w:t>
            </w:r>
          </w:p>
          <w:p w14:paraId="5951B8A6" w14:textId="3350A0FD" w:rsidR="00CD6862" w:rsidRPr="00C64F98" w:rsidRDefault="00CD6862" w:rsidP="00C64F98">
            <w:pPr>
              <w:pStyle w:val="ListParagraph"/>
              <w:numPr>
                <w:ilvl w:val="0"/>
                <w:numId w:val="13"/>
              </w:numPr>
              <w:ind w:left="317"/>
              <w:rPr>
                <w:color w:val="000000" w:themeColor="text1"/>
                <w:sz w:val="20"/>
                <w:szCs w:val="20"/>
              </w:rPr>
            </w:pPr>
            <w:r w:rsidRPr="00C64F98">
              <w:rPr>
                <w:color w:val="000000" w:themeColor="text1"/>
                <w:sz w:val="20"/>
                <w:szCs w:val="20"/>
              </w:rPr>
              <w:t xml:space="preserve">Consolidated methods/practices report &amp; database published (Yr </w:t>
            </w:r>
            <w:r w:rsidR="00C64F98">
              <w:rPr>
                <w:color w:val="000000" w:themeColor="text1"/>
                <w:sz w:val="20"/>
                <w:szCs w:val="20"/>
              </w:rPr>
              <w:t>4</w:t>
            </w:r>
            <w:r w:rsidRPr="00C64F98">
              <w:rPr>
                <w:color w:val="000000" w:themeColor="text1"/>
                <w:sz w:val="20"/>
                <w:szCs w:val="20"/>
              </w:rPr>
              <w:t>)</w:t>
            </w:r>
          </w:p>
        </w:tc>
        <w:tc>
          <w:tcPr>
            <w:tcW w:w="2551" w:type="dxa"/>
          </w:tcPr>
          <w:p w14:paraId="1D279324" w14:textId="77777777" w:rsidR="00CD6862" w:rsidRDefault="00C64F98" w:rsidP="008748F0">
            <w:pPr>
              <w:pStyle w:val="ListParagraph"/>
              <w:numPr>
                <w:ilvl w:val="0"/>
                <w:numId w:val="13"/>
              </w:numPr>
              <w:ind w:left="317"/>
              <w:rPr>
                <w:color w:val="000000" w:themeColor="text1"/>
                <w:sz w:val="20"/>
                <w:szCs w:val="20"/>
              </w:rPr>
            </w:pPr>
            <w:r>
              <w:rPr>
                <w:color w:val="000000" w:themeColor="text1"/>
                <w:sz w:val="20"/>
                <w:szCs w:val="20"/>
              </w:rPr>
              <w:t>Documentation delivered</w:t>
            </w:r>
          </w:p>
          <w:p w14:paraId="2F258F26" w14:textId="6B06236D" w:rsidR="00C64F98" w:rsidRPr="00C64F98" w:rsidRDefault="00C64F98" w:rsidP="008748F0">
            <w:pPr>
              <w:pStyle w:val="ListParagraph"/>
              <w:numPr>
                <w:ilvl w:val="0"/>
                <w:numId w:val="13"/>
              </w:numPr>
              <w:ind w:left="317"/>
              <w:rPr>
                <w:color w:val="000000" w:themeColor="text1"/>
                <w:sz w:val="20"/>
                <w:szCs w:val="20"/>
              </w:rPr>
            </w:pPr>
            <w:r>
              <w:rPr>
                <w:color w:val="000000" w:themeColor="text1"/>
                <w:sz w:val="20"/>
                <w:szCs w:val="20"/>
              </w:rPr>
              <w:t>Users applying documentation as demonstrated by their own documentation</w:t>
            </w:r>
          </w:p>
        </w:tc>
        <w:tc>
          <w:tcPr>
            <w:tcW w:w="1337" w:type="dxa"/>
          </w:tcPr>
          <w:p w14:paraId="4EF16C49" w14:textId="77777777" w:rsidR="00CD6862" w:rsidRPr="00C64F98" w:rsidRDefault="00CD6862" w:rsidP="00CD6862">
            <w:pPr>
              <w:rPr>
                <w:color w:val="000000" w:themeColor="text1"/>
                <w:sz w:val="20"/>
                <w:szCs w:val="20"/>
              </w:rPr>
            </w:pPr>
          </w:p>
        </w:tc>
      </w:tr>
      <w:tr w:rsidR="00C64F98" w:rsidRPr="00C64F98" w14:paraId="0D027F0B" w14:textId="77777777" w:rsidTr="009A578C">
        <w:trPr>
          <w:trHeight w:val="1966"/>
        </w:trPr>
        <w:tc>
          <w:tcPr>
            <w:tcW w:w="3331" w:type="dxa"/>
          </w:tcPr>
          <w:p w14:paraId="48A87636" w14:textId="12448DF1" w:rsidR="00CD6862" w:rsidRPr="00C64F98" w:rsidRDefault="00CD6862" w:rsidP="00CD6862">
            <w:pPr>
              <w:shd w:val="clear" w:color="auto" w:fill="FFFFFF" w:themeFill="background1"/>
              <w:rPr>
                <w:color w:val="000000" w:themeColor="text1"/>
                <w:sz w:val="20"/>
                <w:szCs w:val="20"/>
              </w:rPr>
            </w:pPr>
            <w:r w:rsidRPr="008748F0">
              <w:rPr>
                <w:b/>
                <w:color w:val="000000" w:themeColor="text1"/>
                <w:sz w:val="20"/>
                <w:szCs w:val="20"/>
              </w:rPr>
              <w:t>Output 2.4:</w:t>
            </w:r>
            <w:r w:rsidRPr="00C64F98">
              <w:rPr>
                <w:color w:val="000000" w:themeColor="text1"/>
                <w:sz w:val="20"/>
                <w:szCs w:val="20"/>
              </w:rPr>
              <w:t xml:space="preserve"> Definition of programmes and policy options for improved Nr management at local/regional/global levels, supported by cost-benefit analysis to underpin options for the Green Economy.</w:t>
            </w:r>
          </w:p>
          <w:p w14:paraId="01CBDB26" w14:textId="77777777" w:rsidR="00CD6862" w:rsidRPr="00C64F98" w:rsidRDefault="00CD6862" w:rsidP="00CD6862">
            <w:pPr>
              <w:shd w:val="clear" w:color="auto" w:fill="FFFFFF" w:themeFill="background1"/>
              <w:rPr>
                <w:color w:val="000000" w:themeColor="text1"/>
                <w:sz w:val="20"/>
                <w:szCs w:val="20"/>
              </w:rPr>
            </w:pPr>
          </w:p>
        </w:tc>
        <w:tc>
          <w:tcPr>
            <w:tcW w:w="1967" w:type="dxa"/>
          </w:tcPr>
          <w:p w14:paraId="04A2F901" w14:textId="4D4806D1" w:rsidR="00CD6862" w:rsidRPr="00C64F98" w:rsidRDefault="00CD6862" w:rsidP="00CD6862">
            <w:pPr>
              <w:rPr>
                <w:color w:val="000000" w:themeColor="text1"/>
                <w:sz w:val="20"/>
                <w:szCs w:val="20"/>
              </w:rPr>
            </w:pPr>
            <w:r w:rsidRPr="00C64F98">
              <w:rPr>
                <w:color w:val="000000" w:themeColor="text1"/>
                <w:sz w:val="20"/>
                <w:szCs w:val="20"/>
              </w:rPr>
              <w:t>Specific reports published on future N scenarios with mitigation options</w:t>
            </w:r>
          </w:p>
        </w:tc>
        <w:tc>
          <w:tcPr>
            <w:tcW w:w="2199" w:type="dxa"/>
          </w:tcPr>
          <w:p w14:paraId="1CB52332" w14:textId="77777777" w:rsidR="008748F0" w:rsidRDefault="008748F0" w:rsidP="00CD6862">
            <w:pPr>
              <w:rPr>
                <w:color w:val="000000" w:themeColor="text1"/>
                <w:sz w:val="20"/>
                <w:szCs w:val="20"/>
              </w:rPr>
            </w:pPr>
            <w:r>
              <w:rPr>
                <w:color w:val="000000" w:themeColor="text1"/>
                <w:sz w:val="20"/>
                <w:szCs w:val="20"/>
              </w:rPr>
              <w:t>Current programmes have little awareness of the links between themselves and other parts of the nitrogen cycle.</w:t>
            </w:r>
          </w:p>
          <w:p w14:paraId="7B3757AE" w14:textId="57B5F4DD" w:rsidR="008748F0" w:rsidRPr="00C64F98" w:rsidRDefault="008748F0" w:rsidP="00CD6862">
            <w:pPr>
              <w:rPr>
                <w:color w:val="000000" w:themeColor="text1"/>
                <w:sz w:val="20"/>
                <w:szCs w:val="20"/>
              </w:rPr>
            </w:pPr>
            <w:r>
              <w:rPr>
                <w:color w:val="000000" w:themeColor="text1"/>
                <w:sz w:val="20"/>
                <w:szCs w:val="20"/>
              </w:rPr>
              <w:t>Fragmentation is a significant contributor to the barriers to change.</w:t>
            </w:r>
          </w:p>
        </w:tc>
        <w:tc>
          <w:tcPr>
            <w:tcW w:w="2563" w:type="dxa"/>
          </w:tcPr>
          <w:p w14:paraId="5D13E00E" w14:textId="77777777" w:rsidR="00CD6862" w:rsidRPr="00C64F98" w:rsidRDefault="00CD6862" w:rsidP="00CD6862">
            <w:pPr>
              <w:pStyle w:val="ListParagraph"/>
              <w:numPr>
                <w:ilvl w:val="0"/>
                <w:numId w:val="14"/>
              </w:numPr>
              <w:ind w:left="317"/>
              <w:rPr>
                <w:color w:val="000000" w:themeColor="text1"/>
                <w:sz w:val="20"/>
                <w:szCs w:val="20"/>
              </w:rPr>
            </w:pPr>
            <w:r w:rsidRPr="00C64F98">
              <w:rPr>
                <w:color w:val="000000" w:themeColor="text1"/>
                <w:sz w:val="20"/>
                <w:szCs w:val="20"/>
              </w:rPr>
              <w:t>Background docs for workshop (Yr. X)</w:t>
            </w:r>
          </w:p>
          <w:p w14:paraId="5E8758D8" w14:textId="486D547A" w:rsidR="00CD6862" w:rsidRPr="00C64F98" w:rsidRDefault="00CD6862" w:rsidP="00CD6862">
            <w:pPr>
              <w:pStyle w:val="ListParagraph"/>
              <w:numPr>
                <w:ilvl w:val="0"/>
                <w:numId w:val="14"/>
              </w:numPr>
              <w:ind w:left="317"/>
              <w:rPr>
                <w:color w:val="000000" w:themeColor="text1"/>
                <w:sz w:val="20"/>
                <w:szCs w:val="20"/>
              </w:rPr>
            </w:pPr>
            <w:r w:rsidRPr="00C64F98">
              <w:rPr>
                <w:color w:val="000000" w:themeColor="text1"/>
                <w:sz w:val="20"/>
                <w:szCs w:val="20"/>
              </w:rPr>
              <w:t>Workshop (</w:t>
            </w:r>
            <w:r w:rsidR="008748F0">
              <w:rPr>
                <w:color w:val="000000" w:themeColor="text1"/>
                <w:sz w:val="20"/>
                <w:szCs w:val="20"/>
              </w:rPr>
              <w:t>8</w:t>
            </w:r>
            <w:r w:rsidRPr="00C64F98">
              <w:rPr>
                <w:color w:val="000000" w:themeColor="text1"/>
                <w:sz w:val="20"/>
                <w:szCs w:val="20"/>
              </w:rPr>
              <w:t xml:space="preserve">0 participants) on N policies and scenarios completed &amp; reported (Yr </w:t>
            </w:r>
            <w:r w:rsidR="008748F0">
              <w:rPr>
                <w:color w:val="000000" w:themeColor="text1"/>
                <w:sz w:val="20"/>
                <w:szCs w:val="20"/>
              </w:rPr>
              <w:t>3</w:t>
            </w:r>
            <w:r w:rsidRPr="00C64F98">
              <w:rPr>
                <w:color w:val="000000" w:themeColor="text1"/>
                <w:sz w:val="20"/>
                <w:szCs w:val="20"/>
              </w:rPr>
              <w:t>)</w:t>
            </w:r>
          </w:p>
          <w:p w14:paraId="3745F7FD" w14:textId="56A7F4CA" w:rsidR="00CD6862" w:rsidRPr="00C64F98" w:rsidRDefault="00CD6862" w:rsidP="008748F0">
            <w:pPr>
              <w:pStyle w:val="ListParagraph"/>
              <w:numPr>
                <w:ilvl w:val="0"/>
                <w:numId w:val="13"/>
              </w:numPr>
              <w:ind w:left="317"/>
              <w:rPr>
                <w:color w:val="000000" w:themeColor="text1"/>
                <w:sz w:val="20"/>
                <w:szCs w:val="20"/>
              </w:rPr>
            </w:pPr>
            <w:r w:rsidRPr="00C64F98">
              <w:rPr>
                <w:color w:val="000000" w:themeColor="text1"/>
                <w:sz w:val="20"/>
                <w:szCs w:val="20"/>
              </w:rPr>
              <w:t xml:space="preserve">Published report on N policy options &amp; contribution to Green Economy (Yr </w:t>
            </w:r>
            <w:r w:rsidR="008748F0">
              <w:rPr>
                <w:color w:val="000000" w:themeColor="text1"/>
                <w:sz w:val="20"/>
                <w:szCs w:val="20"/>
              </w:rPr>
              <w:t>4</w:t>
            </w:r>
            <w:r w:rsidRPr="00C64F98">
              <w:rPr>
                <w:color w:val="000000" w:themeColor="text1"/>
                <w:sz w:val="20"/>
                <w:szCs w:val="20"/>
              </w:rPr>
              <w:t>)</w:t>
            </w:r>
          </w:p>
        </w:tc>
        <w:tc>
          <w:tcPr>
            <w:tcW w:w="2551" w:type="dxa"/>
          </w:tcPr>
          <w:p w14:paraId="5F7D8163" w14:textId="77777777" w:rsidR="00CD6862" w:rsidRPr="008748F0" w:rsidRDefault="008748F0" w:rsidP="008748F0">
            <w:pPr>
              <w:pStyle w:val="ListParagraph"/>
              <w:numPr>
                <w:ilvl w:val="0"/>
                <w:numId w:val="13"/>
              </w:numPr>
              <w:ind w:left="317"/>
              <w:rPr>
                <w:color w:val="000000" w:themeColor="text1"/>
                <w:sz w:val="20"/>
                <w:szCs w:val="20"/>
              </w:rPr>
            </w:pPr>
            <w:r w:rsidRPr="008748F0">
              <w:rPr>
                <w:color w:val="000000" w:themeColor="text1"/>
                <w:sz w:val="20"/>
                <w:szCs w:val="20"/>
              </w:rPr>
              <w:t>Documentation delivered</w:t>
            </w:r>
          </w:p>
          <w:p w14:paraId="12477430" w14:textId="7157885E" w:rsidR="008748F0" w:rsidRPr="008748F0" w:rsidRDefault="008748F0" w:rsidP="008748F0">
            <w:pPr>
              <w:pStyle w:val="ListParagraph"/>
              <w:numPr>
                <w:ilvl w:val="0"/>
                <w:numId w:val="13"/>
              </w:numPr>
              <w:ind w:left="317"/>
              <w:rPr>
                <w:color w:val="000000" w:themeColor="text1"/>
                <w:sz w:val="20"/>
                <w:szCs w:val="20"/>
              </w:rPr>
            </w:pPr>
            <w:r w:rsidRPr="008748F0">
              <w:rPr>
                <w:color w:val="000000" w:themeColor="text1"/>
                <w:sz w:val="20"/>
                <w:szCs w:val="20"/>
              </w:rPr>
              <w:t>Users applying results as demonstrated by their own processes.</w:t>
            </w:r>
          </w:p>
        </w:tc>
        <w:tc>
          <w:tcPr>
            <w:tcW w:w="1337" w:type="dxa"/>
          </w:tcPr>
          <w:p w14:paraId="5A410FA8" w14:textId="77777777" w:rsidR="00CD6862" w:rsidRPr="00C64F98" w:rsidRDefault="00CD6862" w:rsidP="00CD6862">
            <w:pPr>
              <w:rPr>
                <w:color w:val="000000" w:themeColor="text1"/>
                <w:sz w:val="20"/>
                <w:szCs w:val="20"/>
              </w:rPr>
            </w:pPr>
          </w:p>
        </w:tc>
      </w:tr>
      <w:tr w:rsidR="00C64F98" w:rsidRPr="002E6A3F" w14:paraId="1613FE58" w14:textId="77777777" w:rsidTr="009A578C">
        <w:tc>
          <w:tcPr>
            <w:tcW w:w="3331" w:type="dxa"/>
          </w:tcPr>
          <w:p w14:paraId="33D088C3" w14:textId="6CD98F33" w:rsidR="00CD6862" w:rsidRPr="00747669" w:rsidRDefault="00CD6862" w:rsidP="00CD6862">
            <w:pPr>
              <w:shd w:val="clear" w:color="auto" w:fill="FFFFFF" w:themeFill="background1"/>
              <w:rPr>
                <w:sz w:val="20"/>
                <w:szCs w:val="20"/>
              </w:rPr>
            </w:pPr>
            <w:r w:rsidRPr="008748F0">
              <w:rPr>
                <w:b/>
                <w:sz w:val="20"/>
                <w:szCs w:val="20"/>
              </w:rPr>
              <w:t>Output 2.5:</w:t>
            </w:r>
            <w:r w:rsidRPr="00747669">
              <w:rPr>
                <w:sz w:val="20"/>
                <w:szCs w:val="20"/>
              </w:rPr>
              <w:t xml:space="preserve"> Compendium summarizing the state of knowledge, experience and measures adopted by </w:t>
            </w:r>
            <w:r w:rsidRPr="00747669">
              <w:rPr>
                <w:sz w:val="20"/>
                <w:szCs w:val="20"/>
              </w:rPr>
              <w:lastRenderedPageBreak/>
              <w:t>GEF (and others) gained from addressing the issues of excess and insufficient  Nr</w:t>
            </w:r>
          </w:p>
          <w:p w14:paraId="621B6A6B" w14:textId="77777777" w:rsidR="00CD6862" w:rsidRPr="00747669" w:rsidRDefault="00CD6862" w:rsidP="00CD6862">
            <w:pPr>
              <w:rPr>
                <w:sz w:val="20"/>
                <w:szCs w:val="20"/>
              </w:rPr>
            </w:pPr>
          </w:p>
        </w:tc>
        <w:tc>
          <w:tcPr>
            <w:tcW w:w="1967" w:type="dxa"/>
          </w:tcPr>
          <w:p w14:paraId="0C75AA00" w14:textId="77777777" w:rsidR="008748F0" w:rsidRDefault="00CD6862" w:rsidP="00CD6862">
            <w:pPr>
              <w:rPr>
                <w:sz w:val="20"/>
                <w:szCs w:val="20"/>
              </w:rPr>
            </w:pPr>
            <w:r>
              <w:rPr>
                <w:sz w:val="20"/>
                <w:szCs w:val="20"/>
              </w:rPr>
              <w:lastRenderedPageBreak/>
              <w:t>Published report</w:t>
            </w:r>
            <w:r w:rsidR="008748F0">
              <w:rPr>
                <w:sz w:val="20"/>
                <w:szCs w:val="20"/>
              </w:rPr>
              <w:t>s</w:t>
            </w:r>
          </w:p>
          <w:p w14:paraId="50CE72F2" w14:textId="514077D1" w:rsidR="00CD6862" w:rsidRPr="00747669" w:rsidRDefault="008748F0" w:rsidP="00CD6862">
            <w:pPr>
              <w:rPr>
                <w:color w:val="00B050"/>
                <w:sz w:val="20"/>
                <w:szCs w:val="20"/>
              </w:rPr>
            </w:pPr>
            <w:r>
              <w:rPr>
                <w:sz w:val="20"/>
                <w:szCs w:val="20"/>
              </w:rPr>
              <w:t xml:space="preserve">Level of awareness of key successes as </w:t>
            </w:r>
            <w:r>
              <w:rPr>
                <w:sz w:val="20"/>
                <w:szCs w:val="20"/>
              </w:rPr>
              <w:lastRenderedPageBreak/>
              <w:t>well of failures and lessons learned.</w:t>
            </w:r>
            <w:r w:rsidR="00CD6862">
              <w:rPr>
                <w:sz w:val="20"/>
                <w:szCs w:val="20"/>
              </w:rPr>
              <w:t xml:space="preserve"> </w:t>
            </w:r>
          </w:p>
        </w:tc>
        <w:tc>
          <w:tcPr>
            <w:tcW w:w="2199" w:type="dxa"/>
          </w:tcPr>
          <w:p w14:paraId="7666AF20" w14:textId="5C5963D9" w:rsidR="008748F0" w:rsidRDefault="00CD6862" w:rsidP="00CD6862">
            <w:pPr>
              <w:rPr>
                <w:sz w:val="20"/>
                <w:szCs w:val="20"/>
              </w:rPr>
            </w:pPr>
            <w:r>
              <w:rPr>
                <w:sz w:val="20"/>
                <w:szCs w:val="20"/>
              </w:rPr>
              <w:lastRenderedPageBreak/>
              <w:t>STAP report 2011 on eutrophication</w:t>
            </w:r>
          </w:p>
          <w:p w14:paraId="6C58542C" w14:textId="13A1FBBF" w:rsidR="008748F0" w:rsidRDefault="008748F0" w:rsidP="00CD6862">
            <w:pPr>
              <w:rPr>
                <w:sz w:val="20"/>
                <w:szCs w:val="20"/>
              </w:rPr>
            </w:pPr>
            <w:r>
              <w:rPr>
                <w:sz w:val="20"/>
                <w:szCs w:val="20"/>
              </w:rPr>
              <w:lastRenderedPageBreak/>
              <w:t>LRTAP assessment report</w:t>
            </w:r>
          </w:p>
          <w:p w14:paraId="0F97E6F1" w14:textId="77777777" w:rsidR="00CD6862" w:rsidRDefault="008748F0" w:rsidP="00CD6862">
            <w:pPr>
              <w:rPr>
                <w:sz w:val="20"/>
                <w:szCs w:val="20"/>
              </w:rPr>
            </w:pPr>
            <w:r>
              <w:rPr>
                <w:sz w:val="20"/>
                <w:szCs w:val="20"/>
              </w:rPr>
              <w:t>Examples brought togerther through the GNC project</w:t>
            </w:r>
          </w:p>
          <w:p w14:paraId="1B1C9338" w14:textId="459551F3" w:rsidR="00CD6862" w:rsidRPr="008748F0" w:rsidRDefault="008748F0" w:rsidP="00CD6862">
            <w:pPr>
              <w:rPr>
                <w:sz w:val="20"/>
                <w:szCs w:val="20"/>
              </w:rPr>
            </w:pPr>
            <w:r>
              <w:rPr>
                <w:sz w:val="20"/>
                <w:szCs w:val="20"/>
              </w:rPr>
              <w:t xml:space="preserve">Little awareness of bi-lateral programmes and successes by wider global community. </w:t>
            </w:r>
          </w:p>
        </w:tc>
        <w:tc>
          <w:tcPr>
            <w:tcW w:w="2563" w:type="dxa"/>
          </w:tcPr>
          <w:p w14:paraId="2547ADFB" w14:textId="431C6581" w:rsidR="00CD6862" w:rsidRDefault="00CD6862" w:rsidP="00CD6862">
            <w:pPr>
              <w:pStyle w:val="ListParagraph"/>
              <w:numPr>
                <w:ilvl w:val="0"/>
                <w:numId w:val="14"/>
              </w:numPr>
              <w:ind w:left="317"/>
              <w:rPr>
                <w:sz w:val="20"/>
                <w:szCs w:val="20"/>
              </w:rPr>
            </w:pPr>
            <w:r>
              <w:rPr>
                <w:sz w:val="20"/>
                <w:szCs w:val="20"/>
              </w:rPr>
              <w:lastRenderedPageBreak/>
              <w:t xml:space="preserve">Summary (inc. database) of GEF N management measures (Yr </w:t>
            </w:r>
            <w:r w:rsidR="008748F0">
              <w:rPr>
                <w:sz w:val="20"/>
                <w:szCs w:val="20"/>
              </w:rPr>
              <w:t>1</w:t>
            </w:r>
            <w:r>
              <w:rPr>
                <w:sz w:val="20"/>
                <w:szCs w:val="20"/>
              </w:rPr>
              <w:t>)</w:t>
            </w:r>
          </w:p>
          <w:p w14:paraId="49EA380C" w14:textId="33BD0E23" w:rsidR="00CD6862" w:rsidRDefault="00CD6862" w:rsidP="00CD6862">
            <w:pPr>
              <w:pStyle w:val="ListParagraph"/>
              <w:numPr>
                <w:ilvl w:val="0"/>
                <w:numId w:val="14"/>
              </w:numPr>
              <w:ind w:left="317"/>
              <w:rPr>
                <w:sz w:val="20"/>
                <w:szCs w:val="20"/>
              </w:rPr>
            </w:pPr>
            <w:r>
              <w:rPr>
                <w:sz w:val="20"/>
                <w:szCs w:val="20"/>
              </w:rPr>
              <w:lastRenderedPageBreak/>
              <w:t xml:space="preserve">Summary (inc. database) of non-GEF N management measures (Yr </w:t>
            </w:r>
            <w:r w:rsidR="008748F0">
              <w:rPr>
                <w:sz w:val="20"/>
                <w:szCs w:val="20"/>
              </w:rPr>
              <w:t>2</w:t>
            </w:r>
            <w:r>
              <w:rPr>
                <w:sz w:val="20"/>
                <w:szCs w:val="20"/>
              </w:rPr>
              <w:t>)</w:t>
            </w:r>
          </w:p>
          <w:p w14:paraId="070A38A0" w14:textId="3C7AF13D" w:rsidR="00CD6862" w:rsidRPr="00747669" w:rsidRDefault="00CD6862" w:rsidP="008748F0">
            <w:pPr>
              <w:pStyle w:val="ListParagraph"/>
              <w:numPr>
                <w:ilvl w:val="0"/>
                <w:numId w:val="13"/>
              </w:numPr>
              <w:ind w:left="317"/>
              <w:rPr>
                <w:color w:val="00B050"/>
                <w:sz w:val="20"/>
                <w:szCs w:val="20"/>
              </w:rPr>
            </w:pPr>
            <w:r>
              <w:rPr>
                <w:sz w:val="20"/>
                <w:szCs w:val="20"/>
              </w:rPr>
              <w:t xml:space="preserve">Compendium of measures for effective N management published (Yr </w:t>
            </w:r>
            <w:r w:rsidR="008748F0">
              <w:rPr>
                <w:sz w:val="20"/>
                <w:szCs w:val="20"/>
              </w:rPr>
              <w:t>3</w:t>
            </w:r>
            <w:r>
              <w:rPr>
                <w:sz w:val="20"/>
                <w:szCs w:val="20"/>
              </w:rPr>
              <w:t>)</w:t>
            </w:r>
          </w:p>
        </w:tc>
        <w:tc>
          <w:tcPr>
            <w:tcW w:w="2551" w:type="dxa"/>
          </w:tcPr>
          <w:p w14:paraId="37074CB7" w14:textId="77777777" w:rsidR="00CD6862" w:rsidRDefault="008748F0" w:rsidP="008748F0">
            <w:pPr>
              <w:pStyle w:val="ListParagraph"/>
              <w:numPr>
                <w:ilvl w:val="0"/>
                <w:numId w:val="13"/>
              </w:numPr>
              <w:ind w:left="317"/>
              <w:rPr>
                <w:color w:val="000000" w:themeColor="text1"/>
                <w:sz w:val="20"/>
                <w:szCs w:val="20"/>
              </w:rPr>
            </w:pPr>
            <w:r w:rsidRPr="008748F0">
              <w:rPr>
                <w:color w:val="000000" w:themeColor="text1"/>
                <w:sz w:val="20"/>
                <w:szCs w:val="20"/>
              </w:rPr>
              <w:lastRenderedPageBreak/>
              <w:t>Documentation delivered</w:t>
            </w:r>
          </w:p>
          <w:p w14:paraId="2E2B139D" w14:textId="4AD20424" w:rsidR="008748F0" w:rsidRPr="008748F0" w:rsidRDefault="008748F0" w:rsidP="008748F0">
            <w:pPr>
              <w:pStyle w:val="ListParagraph"/>
              <w:numPr>
                <w:ilvl w:val="0"/>
                <w:numId w:val="13"/>
              </w:numPr>
              <w:ind w:left="317"/>
              <w:rPr>
                <w:color w:val="000000" w:themeColor="text1"/>
                <w:sz w:val="20"/>
                <w:szCs w:val="20"/>
              </w:rPr>
            </w:pPr>
            <w:r>
              <w:rPr>
                <w:color w:val="000000" w:themeColor="text1"/>
                <w:sz w:val="20"/>
                <w:szCs w:val="20"/>
              </w:rPr>
              <w:lastRenderedPageBreak/>
              <w:t>Results incorporated into global assessment report and INMS communication documentation</w:t>
            </w:r>
          </w:p>
        </w:tc>
        <w:tc>
          <w:tcPr>
            <w:tcW w:w="1337" w:type="dxa"/>
          </w:tcPr>
          <w:p w14:paraId="459C3E6F" w14:textId="77777777" w:rsidR="00CD6862" w:rsidRPr="002E6A3F" w:rsidRDefault="00CD6862" w:rsidP="00CD6862">
            <w:pPr>
              <w:rPr>
                <w:sz w:val="20"/>
                <w:szCs w:val="20"/>
              </w:rPr>
            </w:pPr>
          </w:p>
        </w:tc>
      </w:tr>
    </w:tbl>
    <w:p w14:paraId="22AA47DB" w14:textId="190789DC" w:rsidR="00C43F15" w:rsidRDefault="00C43F15" w:rsidP="00C43F15"/>
    <w:p w14:paraId="79937366" w14:textId="77777777" w:rsidR="00C43F15" w:rsidRDefault="00C43F15" w:rsidP="00C43F15">
      <w:pPr>
        <w:pStyle w:val="NonumberingHeading"/>
      </w:pPr>
      <w:bookmarkStart w:id="29" w:name="_Toc442303850"/>
      <w:r>
        <w:t>Annex 2 - Terms of Reference for Partners and Consultants</w:t>
      </w:r>
      <w:bookmarkEnd w:id="29"/>
    </w:p>
    <w:p w14:paraId="28BEFDE7" w14:textId="15379176" w:rsidR="00C43F15" w:rsidRPr="00361874" w:rsidRDefault="00291A4F" w:rsidP="00C43F15">
      <w:pPr>
        <w:rPr>
          <w:i/>
        </w:rPr>
      </w:pPr>
      <w:r>
        <w:rPr>
          <w:i/>
        </w:rPr>
        <w:t>To be completed</w:t>
      </w:r>
    </w:p>
    <w:p w14:paraId="4A892B22" w14:textId="77777777" w:rsidR="00A62147" w:rsidRDefault="00A62147" w:rsidP="00A62147"/>
    <w:sectPr w:rsidR="00A62147" w:rsidSect="00C43F15">
      <w:headerReference w:type="default" r:id="rId27"/>
      <w:pgSz w:w="16838" w:h="11906" w:orient="landscape"/>
      <w:pgMar w:top="1412" w:right="1412" w:bottom="1412" w:left="1412" w:header="709"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EE321" w14:textId="77777777" w:rsidR="007449D1" w:rsidRDefault="007449D1" w:rsidP="00E47A8E">
      <w:pPr>
        <w:spacing w:after="0" w:line="240" w:lineRule="auto"/>
      </w:pPr>
      <w:r>
        <w:separator/>
      </w:r>
    </w:p>
  </w:endnote>
  <w:endnote w:type="continuationSeparator" w:id="0">
    <w:p w14:paraId="24E721F8" w14:textId="77777777" w:rsidR="007449D1" w:rsidRDefault="007449D1" w:rsidP="00E47A8E">
      <w:pPr>
        <w:spacing w:after="0" w:line="240" w:lineRule="auto"/>
      </w:pPr>
      <w:r>
        <w:continuationSeparator/>
      </w:r>
    </w:p>
  </w:endnote>
  <w:endnote w:type="continuationNotice" w:id="1">
    <w:p w14:paraId="1EE3E4B7" w14:textId="77777777" w:rsidR="007449D1" w:rsidRDefault="00744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90676"/>
      <w:docPartObj>
        <w:docPartGallery w:val="Page Numbers (Bottom of Page)"/>
        <w:docPartUnique/>
      </w:docPartObj>
    </w:sdtPr>
    <w:sdtEndPr>
      <w:rPr>
        <w:noProof/>
      </w:rPr>
    </w:sdtEndPr>
    <w:sdtContent>
      <w:p w14:paraId="1CE405D9" w14:textId="73AE6070" w:rsidR="009A578C" w:rsidRDefault="009A578C">
        <w:pPr>
          <w:pStyle w:val="Footer"/>
          <w:jc w:val="right"/>
        </w:pPr>
        <w:r>
          <w:fldChar w:fldCharType="begin"/>
        </w:r>
        <w:r>
          <w:instrText xml:space="preserve"> PAGE   \* MERGEFORMAT </w:instrText>
        </w:r>
        <w:r>
          <w:fldChar w:fldCharType="separate"/>
        </w:r>
        <w:r w:rsidR="00D2541A">
          <w:rPr>
            <w:noProof/>
          </w:rPr>
          <w:t>3</w:t>
        </w:r>
        <w:r>
          <w:rPr>
            <w:noProof/>
          </w:rPr>
          <w:fldChar w:fldCharType="end"/>
        </w:r>
      </w:p>
    </w:sdtContent>
  </w:sdt>
  <w:p w14:paraId="1A42BA55" w14:textId="77777777" w:rsidR="009A578C" w:rsidRDefault="009A5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406219"/>
      <w:docPartObj>
        <w:docPartGallery w:val="Page Numbers (Bottom of Page)"/>
        <w:docPartUnique/>
      </w:docPartObj>
    </w:sdtPr>
    <w:sdtEndPr>
      <w:rPr>
        <w:noProof/>
      </w:rPr>
    </w:sdtEndPr>
    <w:sdtContent>
      <w:p w14:paraId="65859F3F" w14:textId="77777777" w:rsidR="009A578C" w:rsidRDefault="009A578C">
        <w:pPr>
          <w:pStyle w:val="Footer"/>
          <w:jc w:val="right"/>
        </w:pPr>
        <w:r>
          <w:fldChar w:fldCharType="begin"/>
        </w:r>
        <w:r>
          <w:instrText xml:space="preserve"> PAGE   \* MERGEFORMAT </w:instrText>
        </w:r>
        <w:r>
          <w:fldChar w:fldCharType="separate"/>
        </w:r>
        <w:r w:rsidR="00D2541A">
          <w:rPr>
            <w:noProof/>
          </w:rPr>
          <w:t>4</w:t>
        </w:r>
        <w:r>
          <w:rPr>
            <w:noProof/>
          </w:rPr>
          <w:fldChar w:fldCharType="end"/>
        </w:r>
      </w:p>
    </w:sdtContent>
  </w:sdt>
  <w:p w14:paraId="523B2B2C" w14:textId="77777777" w:rsidR="009A578C" w:rsidRDefault="009A57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471194"/>
      <w:docPartObj>
        <w:docPartGallery w:val="Page Numbers (Bottom of Page)"/>
        <w:docPartUnique/>
      </w:docPartObj>
    </w:sdtPr>
    <w:sdtEndPr>
      <w:rPr>
        <w:noProof/>
      </w:rPr>
    </w:sdtEndPr>
    <w:sdtContent>
      <w:p w14:paraId="4DF1631F" w14:textId="77777777" w:rsidR="009A578C" w:rsidRDefault="009A578C">
        <w:pPr>
          <w:pStyle w:val="Footer"/>
          <w:jc w:val="right"/>
        </w:pPr>
        <w:r>
          <w:fldChar w:fldCharType="begin"/>
        </w:r>
        <w:r>
          <w:instrText xml:space="preserve"> PAGE   \* MERGEFORMAT </w:instrText>
        </w:r>
        <w:r>
          <w:fldChar w:fldCharType="separate"/>
        </w:r>
        <w:r w:rsidR="00D2541A">
          <w:rPr>
            <w:noProof/>
          </w:rPr>
          <w:t>46</w:t>
        </w:r>
        <w:r>
          <w:rPr>
            <w:noProof/>
          </w:rPr>
          <w:fldChar w:fldCharType="end"/>
        </w:r>
      </w:p>
    </w:sdtContent>
  </w:sdt>
  <w:p w14:paraId="40748623" w14:textId="77777777" w:rsidR="009A578C" w:rsidRDefault="009A5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E80F4" w14:textId="77777777" w:rsidR="007449D1" w:rsidRDefault="007449D1" w:rsidP="00E47A8E">
      <w:pPr>
        <w:spacing w:after="0" w:line="240" w:lineRule="auto"/>
      </w:pPr>
      <w:r>
        <w:separator/>
      </w:r>
    </w:p>
  </w:footnote>
  <w:footnote w:type="continuationSeparator" w:id="0">
    <w:p w14:paraId="564D7A48" w14:textId="77777777" w:rsidR="007449D1" w:rsidRDefault="007449D1" w:rsidP="00E47A8E">
      <w:pPr>
        <w:spacing w:after="0" w:line="240" w:lineRule="auto"/>
      </w:pPr>
      <w:r>
        <w:continuationSeparator/>
      </w:r>
    </w:p>
  </w:footnote>
  <w:footnote w:type="continuationNotice" w:id="1">
    <w:p w14:paraId="7015F27D" w14:textId="77777777" w:rsidR="007449D1" w:rsidRDefault="007449D1">
      <w:pPr>
        <w:spacing w:after="0" w:line="240" w:lineRule="auto"/>
      </w:pPr>
    </w:p>
  </w:footnote>
  <w:footnote w:id="2">
    <w:p w14:paraId="6AEAE61B" w14:textId="2AA3B49B" w:rsidR="009A578C" w:rsidRDefault="009A578C">
      <w:pPr>
        <w:pStyle w:val="FootnoteText"/>
      </w:pPr>
      <w:r>
        <w:rPr>
          <w:rStyle w:val="FootnoteReference"/>
        </w:rPr>
        <w:footnoteRef/>
      </w:r>
      <w:r>
        <w:t xml:space="preserve"> </w:t>
      </w:r>
      <w:r w:rsidRPr="00C45FA4">
        <w:t>Sutton M.A.,</w:t>
      </w:r>
      <w:r w:rsidRPr="00B534A9">
        <w:t xml:space="preserve"> Bleeker A., Howard C.M., Bekunda M., Grizzetti B., de Vries W., van Grinsven H.J.M., Abrol Y.P., Adhya T.K., Billen G.,. Davidson E.A, Datta A., Diaz R., Erisman J.W., Liu X.J., Oenema O., Palm C., Raghuram N., Reis S., Scholz R.W., Sims T., Westhoek H. &amp; Zhang F.S., with contributions from Ayyappan S., Bouwman A.F., Bustamante M., Fowler D., Galloway J.N., Gavito M.E., Garnier J., Greenwood S., Hellums D.T., Holland M., Hoysall C., Jaramillo V.J., Klimont Z., Ometto J.P., Pathak H., Plocq Fichelet V., Powlson D., Ramakrishna K., Roy A., Sanders K., Sharma C., Singh B., Singh U., Yan X.Y. &amp; Zhang Y. (2013) </w:t>
      </w:r>
      <w:r w:rsidRPr="00B534A9">
        <w:rPr>
          <w:i/>
        </w:rPr>
        <w:t>Our Nutrient World: The challenge to produce more food and energy with less pollution.</w:t>
      </w:r>
      <w:r w:rsidRPr="00B534A9">
        <w:t xml:space="preserve"> Global Overview of Nutrient Management. </w:t>
      </w:r>
      <w:r>
        <w:t>CEH Edinburgh, on behalf of GPNM and INI</w:t>
      </w:r>
      <w:r w:rsidRPr="00B534A9">
        <w:t>. 114 pp.</w:t>
      </w:r>
    </w:p>
  </w:footnote>
  <w:footnote w:id="3">
    <w:p w14:paraId="6DEA1214" w14:textId="0538D50E" w:rsidR="009A578C" w:rsidRDefault="009A578C">
      <w:pPr>
        <w:pStyle w:val="FootnoteText"/>
      </w:pPr>
      <w:r>
        <w:rPr>
          <w:rStyle w:val="FootnoteReference"/>
        </w:rPr>
        <w:footnoteRef/>
      </w:r>
      <w:r>
        <w:t xml:space="preserve"> </w:t>
      </w:r>
      <w:r>
        <w:rPr>
          <w:lang w:eastAsia="en-GB"/>
        </w:rPr>
        <w:t xml:space="preserve">Smith, B.P., Burns, P. &amp; Reading, S. (2013) Communicating ‘Our Nutrient World’ – a report for </w:t>
      </w:r>
      <w:r w:rsidRPr="002D7F7D">
        <w:t>UNEP (Published 18 February 2013). March 2013. Centre for Ecology &amp; Hydrology 12 pp.</w:t>
      </w:r>
      <w:r>
        <w:t xml:space="preserve">    See also </w:t>
      </w:r>
      <w:r w:rsidRPr="00FB322F">
        <w:t>Sutton M.A.,</w:t>
      </w:r>
      <w:r>
        <w:t xml:space="preserve"> Howard C.M., Bleeker A. and Datta A. (2013) </w:t>
      </w:r>
      <w:r w:rsidRPr="00C50531">
        <w:t>The global nutrient challenge: From science to</w:t>
      </w:r>
      <w:r>
        <w:t xml:space="preserve"> </w:t>
      </w:r>
      <w:r w:rsidRPr="00C50531">
        <w:t>public engagement</w:t>
      </w:r>
      <w:r>
        <w:t xml:space="preserve">. </w:t>
      </w:r>
      <w:r w:rsidRPr="00C50531">
        <w:rPr>
          <w:i/>
        </w:rPr>
        <w:t>Environmental Development</w:t>
      </w:r>
      <w:r>
        <w:t xml:space="preserve"> </w:t>
      </w:r>
      <w:r w:rsidRPr="00C50531">
        <w:rPr>
          <w:b/>
        </w:rPr>
        <w:t>6</w:t>
      </w:r>
      <w:r>
        <w:t>, 80-85.</w:t>
      </w:r>
    </w:p>
  </w:footnote>
  <w:footnote w:id="4">
    <w:p w14:paraId="02CE8C52" w14:textId="1AC744E4" w:rsidR="009A578C" w:rsidRDefault="009A578C" w:rsidP="003E2A47">
      <w:pPr>
        <w:pStyle w:val="FootnoteText"/>
      </w:pPr>
      <w:r>
        <w:rPr>
          <w:rStyle w:val="FootnoteReference"/>
        </w:rPr>
        <w:footnoteRef/>
      </w:r>
      <w:r>
        <w:t xml:space="preserve"> </w:t>
      </w:r>
      <w:r w:rsidRPr="00D56FCE">
        <w:t xml:space="preserve">Bouwman AF, Klein Goldewijk K, van Der Hoek KW, Beusen AHW, van Vuuren DP, Willems J, Rufino MC, Stehfest E. </w:t>
      </w:r>
      <w:r>
        <w:t xml:space="preserve">(2013) </w:t>
      </w:r>
      <w:r w:rsidRPr="00D56FCE">
        <w:t xml:space="preserve">Exploring global changes in nitrogen and phosphorus cycles in agriculture induced by livestock production over the 1900-2050 period. </w:t>
      </w:r>
      <w:r w:rsidRPr="003E2A47">
        <w:rPr>
          <w:i/>
        </w:rPr>
        <w:t>Proc. Natl. Acad. Sci. USA</w:t>
      </w:r>
      <w:r w:rsidRPr="00D56FCE">
        <w:t xml:space="preserve">  </w:t>
      </w:r>
      <w:r w:rsidRPr="003E2A47">
        <w:rPr>
          <w:b/>
        </w:rPr>
        <w:t>110</w:t>
      </w:r>
      <w:r>
        <w:t>,</w:t>
      </w:r>
      <w:r w:rsidRPr="00D56FCE">
        <w:t xml:space="preserve"> 20882–20887.</w:t>
      </w:r>
    </w:p>
  </w:footnote>
  <w:footnote w:id="5">
    <w:p w14:paraId="48E9E4A7" w14:textId="6069A978" w:rsidR="009A578C" w:rsidRDefault="009A578C" w:rsidP="003E2A47">
      <w:pPr>
        <w:pStyle w:val="FootnoteText"/>
      </w:pPr>
      <w:r>
        <w:rPr>
          <w:rStyle w:val="FootnoteReference"/>
        </w:rPr>
        <w:footnoteRef/>
      </w:r>
      <w:r>
        <w:t xml:space="preserve"> </w:t>
      </w:r>
      <w:r w:rsidRPr="00D56FCE">
        <w:t xml:space="preserve">Dentener F, Drevet J, Lamarque JF, Bey I, Eickhout B, Fiore AM, Hauglustaine D, Horowitz LW, Krol M, Kulshrestha UC, Lawrence M, Galy-Lacaux C, Rast S, Shindell D, Stevenson D, Van Noije T, Atherton C, Bell N, Bergman D, Butler T, Cofala J, Collins B, Doherty R, Ellingsen K, Galloway J, Gauss M, Montanaro V, Müller JF, Pitari G, Rodriguez J, Sanderson M, Solmon F, Strahan S, Schultz M, Sudo K, Szopa S, Wild O. </w:t>
      </w:r>
      <w:r>
        <w:t xml:space="preserve">(2006) </w:t>
      </w:r>
      <w:r w:rsidRPr="00D56FCE">
        <w:t xml:space="preserve">Nitrogen and sulfur deposition on regional and global scales: A multimodel evaluation. </w:t>
      </w:r>
      <w:r w:rsidRPr="003E2A47">
        <w:rPr>
          <w:i/>
        </w:rPr>
        <w:t>Glob. Biogeochem. Cycles</w:t>
      </w:r>
      <w:r w:rsidRPr="00D56FCE">
        <w:t xml:space="preserve"> </w:t>
      </w:r>
      <w:r w:rsidRPr="003E2A47">
        <w:rPr>
          <w:b/>
        </w:rPr>
        <w:t>20</w:t>
      </w:r>
      <w:r>
        <w:t>,</w:t>
      </w:r>
      <w:r w:rsidRPr="00D56FCE">
        <w:t xml:space="preserve"> GB4003.</w:t>
      </w:r>
    </w:p>
  </w:footnote>
  <w:footnote w:id="6">
    <w:p w14:paraId="4FF5C3B8" w14:textId="7D6FEB7C" w:rsidR="009A578C" w:rsidRDefault="009A578C" w:rsidP="003E2A47">
      <w:pPr>
        <w:pStyle w:val="FootnoteText"/>
      </w:pPr>
      <w:r>
        <w:rPr>
          <w:rStyle w:val="FootnoteReference"/>
        </w:rPr>
        <w:footnoteRef/>
      </w:r>
      <w:r>
        <w:t xml:space="preserve"> </w:t>
      </w:r>
      <w:r w:rsidRPr="001B612B">
        <w:t>Alkemade R, van Oorschot M, Miles L, Nellemann C, Bakkenes M, ten B</w:t>
      </w:r>
      <w:r>
        <w:t xml:space="preserve">rink B. GLOBIO3 (2009) </w:t>
      </w:r>
      <w:r w:rsidRPr="001B612B">
        <w:t xml:space="preserve">A Framework to Investigate Options for Reducing Global Terrestrial Biodiversity Loss. </w:t>
      </w:r>
      <w:r w:rsidRPr="003E2A47">
        <w:rPr>
          <w:i/>
        </w:rPr>
        <w:t>Ecosystems</w:t>
      </w:r>
      <w:r w:rsidRPr="001B612B">
        <w:t xml:space="preserve"> </w:t>
      </w:r>
      <w:r w:rsidRPr="003E2A47">
        <w:rPr>
          <w:b/>
        </w:rPr>
        <w:t>12</w:t>
      </w:r>
      <w:r w:rsidRPr="003E2A47">
        <w:t>,</w:t>
      </w:r>
      <w:r w:rsidRPr="001B612B">
        <w:t xml:space="preserve"> 374-390.</w:t>
      </w:r>
    </w:p>
  </w:footnote>
  <w:footnote w:id="7">
    <w:p w14:paraId="22624DA6" w14:textId="74B07C9F" w:rsidR="009A578C" w:rsidRDefault="009A578C" w:rsidP="003E2A47">
      <w:pPr>
        <w:pStyle w:val="FootnoteText"/>
      </w:pPr>
      <w:r>
        <w:rPr>
          <w:rStyle w:val="FootnoteReference"/>
        </w:rPr>
        <w:footnoteRef/>
      </w:r>
      <w:r>
        <w:t xml:space="preserve"> </w:t>
      </w:r>
      <w:r w:rsidRPr="001B612B">
        <w:t>Fleischer, K., D. Wårlind, M. van der Molen, K. Rebel, A. Arneth, J.W. Erisman, M. Wassen, B. Smith, C. Gough, H. Margolis, A. Cescatti, L. Mon</w:t>
      </w:r>
      <w:r>
        <w:t>tagnani, A. Arain and H. Dolman</w:t>
      </w:r>
      <w:r w:rsidRPr="001B612B">
        <w:t xml:space="preserve"> </w:t>
      </w:r>
      <w:r>
        <w:t>(</w:t>
      </w:r>
      <w:r w:rsidRPr="001B612B">
        <w:t>2015</w:t>
      </w:r>
      <w:r>
        <w:t>)</w:t>
      </w:r>
      <w:r w:rsidRPr="001B612B">
        <w:t xml:space="preserve"> Low historical nitrogen deposition effect on carbon sequestration in the boreal zone.  </w:t>
      </w:r>
      <w:r w:rsidRPr="00E17DEE">
        <w:rPr>
          <w:i/>
        </w:rPr>
        <w:t>Journal of Geophysical Research – Biogeosciences</w:t>
      </w:r>
      <w:r w:rsidRPr="001B612B">
        <w:t>. DOI: 10.1002/2015JG002988.</w:t>
      </w:r>
    </w:p>
  </w:footnote>
  <w:footnote w:id="8">
    <w:p w14:paraId="3049B10C" w14:textId="1D3DC648" w:rsidR="009A578C" w:rsidRDefault="009A578C" w:rsidP="003E2A47">
      <w:pPr>
        <w:pStyle w:val="FootnoteText"/>
      </w:pPr>
      <w:r>
        <w:rPr>
          <w:rStyle w:val="FootnoteReference"/>
        </w:rPr>
        <w:footnoteRef/>
      </w:r>
      <w:r>
        <w:t xml:space="preserve"> </w:t>
      </w:r>
      <w:r w:rsidRPr="001B612B">
        <w:t xml:space="preserve">Mayorga E, Seitzinger SP, Harrison JA, Dumont E, Beusen AHW, Bouwman AF, Fekete BM, Kroeze C, van Drecht G. </w:t>
      </w:r>
      <w:r>
        <w:t xml:space="preserve">(2010) </w:t>
      </w:r>
      <w:r w:rsidRPr="001B612B">
        <w:t xml:space="preserve">Global Nutrient Export from WaterSheds 2 (NEWS 2): Model development and implementation. </w:t>
      </w:r>
      <w:r w:rsidRPr="00E17DEE">
        <w:rPr>
          <w:i/>
        </w:rPr>
        <w:t>Environmental Modelling and Software</w:t>
      </w:r>
      <w:r>
        <w:t xml:space="preserve"> </w:t>
      </w:r>
      <w:r w:rsidRPr="00E17DEE">
        <w:rPr>
          <w:b/>
        </w:rPr>
        <w:t>25</w:t>
      </w:r>
      <w:r>
        <w:t>,</w:t>
      </w:r>
      <w:r w:rsidRPr="001B612B">
        <w:t xml:space="preserve"> 837-853.</w:t>
      </w:r>
    </w:p>
  </w:footnote>
  <w:footnote w:id="9">
    <w:p w14:paraId="4EE51ADB" w14:textId="7EC7E4E5" w:rsidR="009A578C" w:rsidRDefault="009A578C">
      <w:pPr>
        <w:pStyle w:val="FootnoteText"/>
      </w:pPr>
      <w:r>
        <w:rPr>
          <w:rStyle w:val="FootnoteReference"/>
        </w:rPr>
        <w:footnoteRef/>
      </w:r>
      <w:r>
        <w:t xml:space="preserve"> </w:t>
      </w:r>
      <w:r w:rsidRPr="00E87D5A">
        <w:t>Sutton M.A., Howard</w:t>
      </w:r>
      <w:r w:rsidRPr="005544D8">
        <w:t xml:space="preserve"> C., Erisman J.W., Billen G., Bleeker A., Gre</w:t>
      </w:r>
      <w:r>
        <w:t>n</w:t>
      </w:r>
      <w:r w:rsidRPr="005544D8">
        <w:t xml:space="preserve">nfelt P., van Grinsven H. and Grizzetti B. (2011) </w:t>
      </w:r>
      <w:r w:rsidRPr="005544D8">
        <w:rPr>
          <w:i/>
        </w:rPr>
        <w:t>The European Nitrogen Assessment</w:t>
      </w:r>
      <w:r>
        <w:rPr>
          <w:i/>
        </w:rPr>
        <w:t>:</w:t>
      </w:r>
      <w:r w:rsidRPr="005544D8">
        <w:t xml:space="preserve">  </w:t>
      </w:r>
      <w:r>
        <w:rPr>
          <w:i/>
        </w:rPr>
        <w:t>Sources, Effects and Policy Perspectives</w:t>
      </w:r>
      <w:r w:rsidRPr="00F503A8">
        <w:t xml:space="preserve">  </w:t>
      </w:r>
      <w:r w:rsidRPr="005544D8">
        <w:t>(Eds.) Cambr</w:t>
      </w:r>
      <w:r>
        <w:t>idge University Press</w:t>
      </w:r>
      <w:r w:rsidRPr="005544D8">
        <w:t>.</w:t>
      </w:r>
      <w:r>
        <w:t xml:space="preserve"> 612 pp.  </w:t>
      </w:r>
    </w:p>
  </w:footnote>
  <w:footnote w:id="10">
    <w:p w14:paraId="21AA064B" w14:textId="3DDF316E" w:rsidR="009A578C" w:rsidRDefault="009A578C">
      <w:pPr>
        <w:pStyle w:val="FootnoteText"/>
      </w:pPr>
      <w:r>
        <w:rPr>
          <w:rStyle w:val="FootnoteReference"/>
        </w:rPr>
        <w:footnoteRef/>
      </w:r>
      <w:r>
        <w:t xml:space="preserve"> D</w:t>
      </w:r>
      <w:r w:rsidRPr="00C136BE">
        <w:t>e Vries, W., Cellier P., Erisman J.W</w:t>
      </w:r>
      <w:r w:rsidRPr="00E87D5A">
        <w:t>. and Sutton M.A.</w:t>
      </w:r>
      <w:r w:rsidRPr="00C136BE">
        <w:t xml:space="preserve"> (2011) Assessment of nitrogen fluxes to air and water from site scale to continental scale (Eds). (NitroEurope Special Issue) </w:t>
      </w:r>
      <w:r w:rsidRPr="00C136BE">
        <w:rPr>
          <w:i/>
        </w:rPr>
        <w:t>Environ</w:t>
      </w:r>
      <w:r>
        <w:rPr>
          <w:i/>
        </w:rPr>
        <w:t>.</w:t>
      </w:r>
      <w:r w:rsidRPr="00C136BE">
        <w:rPr>
          <w:i/>
        </w:rPr>
        <w:t xml:space="preserve"> Pollution,</w:t>
      </w:r>
      <w:r w:rsidRPr="00C136BE">
        <w:t xml:space="preserve"> </w:t>
      </w:r>
      <w:r w:rsidRPr="00C136BE">
        <w:rPr>
          <w:b/>
        </w:rPr>
        <w:t>159</w:t>
      </w:r>
      <w:r w:rsidRPr="00C136BE">
        <w:t xml:space="preserve"> (11), 3143-3268.</w:t>
      </w:r>
    </w:p>
  </w:footnote>
  <w:footnote w:id="11">
    <w:p w14:paraId="5E359F9D" w14:textId="1D8C4FC0" w:rsidR="009A578C" w:rsidRDefault="009A578C" w:rsidP="00001B31">
      <w:pPr>
        <w:pStyle w:val="FootnoteText"/>
      </w:pPr>
      <w:r>
        <w:rPr>
          <w:rStyle w:val="FootnoteReference"/>
        </w:rPr>
        <w:footnoteRef/>
      </w:r>
      <w:r>
        <w:t xml:space="preserve"> </w:t>
      </w:r>
      <w:r w:rsidRPr="00001B31">
        <w:t>Suddick E.C., Whitney P., Townsend A.R. &amp; Davidson E.A. (2012) The role of nitrogen in climate change and the impacts of nitrogen–climate interactions in the United States: foreword to thematic issue. Biogeochemistry, DOI 10.1007/ s10533-012-9795-z</w:t>
      </w:r>
      <w:r>
        <w:t xml:space="preserve">;  </w:t>
      </w:r>
    </w:p>
  </w:footnote>
  <w:footnote w:id="12">
    <w:p w14:paraId="44708379" w14:textId="5C868CC8" w:rsidR="009A578C" w:rsidRDefault="009A578C">
      <w:pPr>
        <w:pStyle w:val="FootnoteText"/>
      </w:pPr>
      <w:r>
        <w:rPr>
          <w:rStyle w:val="FootnoteReference"/>
        </w:rPr>
        <w:footnoteRef/>
      </w:r>
      <w:r>
        <w:t xml:space="preserve"> Davidson E.A., David M.B., Galloway J.N., Goodale C.L., Haeuber R., Harrison J.A., Howarth R.W., Jaynes D.B., Lowrance R.R., Nolan B.T., Peel J.L., Pinder R.W., Porter E., Snyder C.S., Townsend A.R. &amp; Ward M.H. (2012) Excess nitrogen in the U.S. environment: trends, risks, and solutions. Issues in Ecology, Report Number 15, Ecological Society of America.</w:t>
      </w:r>
    </w:p>
  </w:footnote>
  <w:footnote w:id="13">
    <w:p w14:paraId="5BC9C2BE" w14:textId="679E8CD5" w:rsidR="009A578C" w:rsidRDefault="009A578C">
      <w:pPr>
        <w:pStyle w:val="FootnoteText"/>
      </w:pPr>
      <w:r>
        <w:rPr>
          <w:rStyle w:val="FootnoteReference"/>
        </w:rPr>
        <w:footnoteRef/>
      </w:r>
      <w:r>
        <w:t xml:space="preserve"> USEPA Science Advisory Board, Integrated Nitrogen Committee (2011) Reactive Nitrogen in the United States: An analysis of Inputs, Flows, Consequences, and Management Options. EPA-SAB-11-013. United States Environment Protection Agency. </w:t>
      </w:r>
    </w:p>
  </w:footnote>
  <w:footnote w:id="14">
    <w:p w14:paraId="5309A976" w14:textId="07EC9F3B" w:rsidR="009A578C" w:rsidRDefault="009A578C">
      <w:pPr>
        <w:pStyle w:val="FootnoteText"/>
      </w:pPr>
      <w:r>
        <w:rPr>
          <w:rStyle w:val="FootnoteReference"/>
        </w:rPr>
        <w:footnoteRef/>
      </w:r>
      <w:r>
        <w:t xml:space="preserve"> Abrol Y.P., Raghuram N. &amp; Chanakya H.N. (Eds.) (2008) Reactive Nitrogen in Indian Agriculture, Environment and Health. </w:t>
      </w:r>
      <w:r w:rsidRPr="0003251B">
        <w:rPr>
          <w:i/>
        </w:rPr>
        <w:t>Current Science</w:t>
      </w:r>
      <w:r>
        <w:t xml:space="preserve"> (Nitrogen Special Issue) </w:t>
      </w:r>
      <w:r w:rsidRPr="0003251B">
        <w:rPr>
          <w:b/>
        </w:rPr>
        <w:t>94</w:t>
      </w:r>
      <w:r>
        <w:t xml:space="preserve">, 1375-1477.  </w:t>
      </w:r>
    </w:p>
  </w:footnote>
  <w:footnote w:id="15">
    <w:p w14:paraId="3F2A271A" w14:textId="263E867A" w:rsidR="009A578C" w:rsidRDefault="009A578C" w:rsidP="00E87D5A">
      <w:pPr>
        <w:pStyle w:val="FootnoteText"/>
      </w:pPr>
      <w:r>
        <w:rPr>
          <w:rStyle w:val="FootnoteReference"/>
        </w:rPr>
        <w:footnoteRef/>
      </w:r>
      <w:r>
        <w:t xml:space="preserve"> Fowler D., Pyle J.A., Raven J.A. </w:t>
      </w:r>
      <w:r w:rsidRPr="00E87D5A">
        <w:t>and Sutton M.A. (</w:t>
      </w:r>
      <w:r>
        <w:t xml:space="preserve">2013) The global nitrogen cycle of the twenty-first century. </w:t>
      </w:r>
      <w:r w:rsidRPr="00913A66">
        <w:rPr>
          <w:i/>
        </w:rPr>
        <w:t>Philosophical Transactions of the Royal Society, Series B.</w:t>
      </w:r>
      <w:r>
        <w:t xml:space="preserve"> </w:t>
      </w:r>
      <w:r w:rsidRPr="00913A66">
        <w:rPr>
          <w:b/>
        </w:rPr>
        <w:t>368</w:t>
      </w:r>
      <w:r>
        <w:t xml:space="preserve"> (1621)</w:t>
      </w:r>
    </w:p>
  </w:footnote>
  <w:footnote w:id="16">
    <w:p w14:paraId="2F7B3A28" w14:textId="6C45FC5E" w:rsidR="009A578C" w:rsidRDefault="009A578C">
      <w:pPr>
        <w:pStyle w:val="FootnoteText"/>
      </w:pPr>
      <w:r>
        <w:rPr>
          <w:rStyle w:val="FootnoteReference"/>
        </w:rPr>
        <w:footnoteRef/>
      </w:r>
      <w:r>
        <w:t xml:space="preserve"> UNEP (20</w:t>
      </w:r>
      <w:r w:rsidRPr="00FD0BA8">
        <w:t xml:space="preserve">13) </w:t>
      </w:r>
      <w:r w:rsidRPr="00FD0BA8">
        <w:rPr>
          <w:i/>
        </w:rPr>
        <w:t>Drawing Down N</w:t>
      </w:r>
      <w:r w:rsidRPr="00FD0BA8">
        <w:rPr>
          <w:i/>
          <w:vertAlign w:val="subscript"/>
        </w:rPr>
        <w:t>2</w:t>
      </w:r>
      <w:r w:rsidRPr="00FD0BA8">
        <w:rPr>
          <w:i/>
        </w:rPr>
        <w:t>O to Protect Climate and the Ozone Layer.</w:t>
      </w:r>
      <w:r w:rsidRPr="00FD0BA8">
        <w:t xml:space="preserve"> A UNEP Synthesis Report. (Eds.: J. Alcamo, S.A. Leonard, A.</w:t>
      </w:r>
      <w:r w:rsidRPr="00E87D5A">
        <w:t>R. Ravishankara and M.A. Sutton).</w:t>
      </w:r>
      <w:r w:rsidRPr="00FD0BA8">
        <w:t xml:space="preserve"> </w:t>
      </w:r>
      <w:r>
        <w:t>United Nations Environment Programme</w:t>
      </w:r>
      <w:r w:rsidRPr="00FD0BA8">
        <w:t>, Nairobi.</w:t>
      </w:r>
    </w:p>
  </w:footnote>
  <w:footnote w:id="17">
    <w:p w14:paraId="7B737D86" w14:textId="3B46197E" w:rsidR="009A578C" w:rsidRDefault="009A578C" w:rsidP="008228A1">
      <w:pPr>
        <w:pStyle w:val="FootnoteText"/>
      </w:pPr>
      <w:r>
        <w:rPr>
          <w:rStyle w:val="FootnoteReference"/>
        </w:rPr>
        <w:footnoteRef/>
      </w:r>
      <w:r>
        <w:t xml:space="preserve"> FAO (2006) Fertilizer use by crop.</w:t>
      </w:r>
      <w:r w:rsidRPr="008228A1">
        <w:t xml:space="preserve"> </w:t>
      </w:r>
      <w:r>
        <w:t>FAO Fertilizer and Plant Nutrition Bulletin 17.</w:t>
      </w:r>
      <w:r w:rsidRPr="008228A1">
        <w:t xml:space="preserve"> Food and Agriculture Organization of the United Nations</w:t>
      </w:r>
      <w:r>
        <w:t>, Rome. [</w:t>
      </w:r>
      <w:r w:rsidRPr="008228A1">
        <w:t>ISBN 978-92-5-105592-2</w:t>
      </w:r>
      <w:r>
        <w:t>]</w:t>
      </w:r>
    </w:p>
  </w:footnote>
  <w:footnote w:id="18">
    <w:p w14:paraId="40F39E9B" w14:textId="77777777" w:rsidR="009A578C" w:rsidRDefault="009A578C" w:rsidP="002076F0">
      <w:pPr>
        <w:pStyle w:val="FootnoteText"/>
      </w:pPr>
      <w:r>
        <w:rPr>
          <w:rStyle w:val="FootnoteReference"/>
        </w:rPr>
        <w:footnoteRef/>
      </w:r>
      <w:r>
        <w:t xml:space="preserve"> </w:t>
      </w:r>
      <w:r w:rsidRPr="008A12E5">
        <w:t>Bittman, S., Dedi</w:t>
      </w:r>
      <w:r>
        <w:t>na, M., Howard C.M., O</w:t>
      </w:r>
      <w:r w:rsidRPr="00E87D5A">
        <w:t>enema, O. and Sutton, M.A.</w:t>
      </w:r>
      <w:r w:rsidRPr="008A12E5">
        <w:t xml:space="preserve"> (2014) (eds.) </w:t>
      </w:r>
      <w:r>
        <w:rPr>
          <w:i/>
        </w:rPr>
        <w:t xml:space="preserve">Options for </w:t>
      </w:r>
      <w:r w:rsidRPr="008A12E5">
        <w:rPr>
          <w:i/>
        </w:rPr>
        <w:t>ammonia mitigation: Guidance from the UNECE Task Force on Reactive Nitrogen.</w:t>
      </w:r>
      <w:r w:rsidRPr="008A12E5">
        <w:t xml:space="preserve"> TFRN-CLRTAP, Centre for Ecology and Hydrology, UK. [ ISBN: 978-1-906698-46-1]</w:t>
      </w:r>
    </w:p>
  </w:footnote>
  <w:footnote w:id="19">
    <w:p w14:paraId="5D1889CE" w14:textId="77777777" w:rsidR="009A578C" w:rsidRDefault="009A578C" w:rsidP="002076F0">
      <w:pPr>
        <w:pStyle w:val="FootnoteText"/>
      </w:pPr>
      <w:r>
        <w:rPr>
          <w:rStyle w:val="FootnoteReference"/>
        </w:rPr>
        <w:footnoteRef/>
      </w:r>
      <w:r>
        <w:t xml:space="preserve"> UNECE (2015) </w:t>
      </w:r>
      <w:r w:rsidRPr="00BB759B">
        <w:rPr>
          <w:i/>
        </w:rPr>
        <w:t>United Nations Economic Commission for Europe Framework Code for Good Agric</w:t>
      </w:r>
      <w:r>
        <w:rPr>
          <w:i/>
        </w:rPr>
        <w:softHyphen/>
      </w:r>
      <w:r w:rsidRPr="00BB759B">
        <w:rPr>
          <w:i/>
        </w:rPr>
        <w:t>ultural Practice for Reducing Ammonia Emissions</w:t>
      </w:r>
      <w:r>
        <w:t>.</w:t>
      </w:r>
      <w:r w:rsidRPr="00BB759B">
        <w:t xml:space="preserve"> United Nations Economic Commission for Europe</w:t>
      </w:r>
      <w:r>
        <w:t>, Geneva.</w:t>
      </w:r>
    </w:p>
  </w:footnote>
  <w:footnote w:id="20">
    <w:p w14:paraId="43FA7C67" w14:textId="41A0A036" w:rsidR="009A578C" w:rsidRPr="00AE7108" w:rsidRDefault="009A578C" w:rsidP="00AE7108">
      <w:pPr>
        <w:pStyle w:val="FootnoteText"/>
        <w:rPr>
          <w:lang w:val="en-US"/>
        </w:rPr>
      </w:pPr>
      <w:r>
        <w:rPr>
          <w:rStyle w:val="FootnoteReference"/>
        </w:rPr>
        <w:footnoteRef/>
      </w:r>
      <w:r w:rsidRPr="00AE7108">
        <w:rPr>
          <w:lang w:val="en-US"/>
        </w:rPr>
        <w:t xml:space="preserve"> Nakicenovic, N. et al . (2006). Special Report on</w:t>
      </w:r>
      <w:r>
        <w:rPr>
          <w:lang w:val="en-US"/>
        </w:rPr>
        <w:t xml:space="preserve"> </w:t>
      </w:r>
      <w:r w:rsidRPr="00AE7108">
        <w:rPr>
          <w:lang w:val="en-US"/>
        </w:rPr>
        <w:t>Emissions Scenarios. Working group III of the Intergovernmental</w:t>
      </w:r>
      <w:r>
        <w:rPr>
          <w:lang w:val="en-US"/>
        </w:rPr>
        <w:t xml:space="preserve"> </w:t>
      </w:r>
      <w:r w:rsidRPr="00AE7108">
        <w:rPr>
          <w:lang w:val="en-US"/>
        </w:rPr>
        <w:t>Panel on Climate Change , Cambridge University Press, Cambridge,</w:t>
      </w:r>
      <w:r>
        <w:rPr>
          <w:lang w:val="en-US"/>
        </w:rPr>
        <w:t xml:space="preserve"> </w:t>
      </w:r>
      <w:r w:rsidRPr="00AE7108">
        <w:rPr>
          <w:lang w:val="en-US"/>
        </w:rPr>
        <w:t>UK, 2000.</w:t>
      </w:r>
    </w:p>
  </w:footnote>
  <w:footnote w:id="21">
    <w:p w14:paraId="0BDA1A60" w14:textId="4CACA2FD" w:rsidR="009A578C" w:rsidRPr="00AE7108" w:rsidRDefault="009A578C" w:rsidP="00AE7108">
      <w:pPr>
        <w:pStyle w:val="FootnoteText"/>
        <w:rPr>
          <w:lang w:val="en-US"/>
        </w:rPr>
      </w:pPr>
      <w:r>
        <w:rPr>
          <w:rStyle w:val="FootnoteReference"/>
        </w:rPr>
        <w:footnoteRef/>
      </w:r>
      <w:r w:rsidRPr="00AE7108">
        <w:rPr>
          <w:lang w:val="en-US"/>
        </w:rPr>
        <w:t xml:space="preserve"> Carpenter, S.R., Pingali, P.L., Bennett E.M., Zurek, M.B. (eds</w:t>
      </w:r>
      <w:r>
        <w:rPr>
          <w:lang w:val="en-US"/>
        </w:rPr>
        <w:t>.</w:t>
      </w:r>
      <w:r w:rsidRPr="00AE7108">
        <w:rPr>
          <w:lang w:val="en-US"/>
        </w:rPr>
        <w:t>), 2005. Ecosystems and Human Well-Being: Scenarios , Volume 2,</w:t>
      </w:r>
      <w:r>
        <w:rPr>
          <w:lang w:val="en-US"/>
        </w:rPr>
        <w:t xml:space="preserve"> </w:t>
      </w:r>
      <w:r w:rsidRPr="00AE7108">
        <w:rPr>
          <w:lang w:val="en-US"/>
        </w:rPr>
        <w:t>Findings of the Scenarios Working Group, Millennium Ecosystem</w:t>
      </w:r>
      <w:r>
        <w:rPr>
          <w:lang w:val="en-US"/>
        </w:rPr>
        <w:t xml:space="preserve"> </w:t>
      </w:r>
      <w:r w:rsidRPr="00AE7108">
        <w:rPr>
          <w:lang w:val="en-US"/>
        </w:rPr>
        <w:t>Assessment . Island. Press, Washington DC.</w:t>
      </w:r>
    </w:p>
  </w:footnote>
  <w:footnote w:id="22">
    <w:p w14:paraId="71948B40" w14:textId="64E0D87D" w:rsidR="009A578C" w:rsidRPr="00AE7108" w:rsidRDefault="009A578C">
      <w:pPr>
        <w:pStyle w:val="FootnoteText"/>
        <w:rPr>
          <w:lang w:val="en-US"/>
        </w:rPr>
      </w:pPr>
      <w:r>
        <w:rPr>
          <w:rStyle w:val="FootnoteReference"/>
        </w:rPr>
        <w:footnoteRef/>
      </w:r>
      <w:r w:rsidRPr="006D77DC">
        <w:rPr>
          <w:lang w:val="de-AT"/>
        </w:rPr>
        <w:t xml:space="preserve"> </w:t>
      </w:r>
      <w:r w:rsidRPr="00AE7108">
        <w:rPr>
          <w:lang w:val="de-AT"/>
        </w:rPr>
        <w:t>van Vuuren, D.P.</w:t>
      </w:r>
      <w:r>
        <w:rPr>
          <w:lang w:val="de-AT"/>
        </w:rPr>
        <w:t>, et al.</w:t>
      </w:r>
      <w:r w:rsidRPr="006D77DC">
        <w:rPr>
          <w:lang w:val="de-AT"/>
        </w:rPr>
        <w:t xml:space="preserve"> </w:t>
      </w:r>
      <w:r>
        <w:rPr>
          <w:lang w:val="de-AT"/>
        </w:rPr>
        <w:t>(2011)</w:t>
      </w:r>
      <w:r w:rsidRPr="006D77DC">
        <w:rPr>
          <w:lang w:val="de-AT"/>
        </w:rPr>
        <w:t xml:space="preserve"> </w:t>
      </w:r>
      <w:r w:rsidRPr="00AE7108">
        <w:t>The representative concentration pathways: an overview. Climatic Change 109, 5–31. doi:10.1007/s10584-011-0148-z</w:t>
      </w:r>
      <w:r>
        <w:t>.</w:t>
      </w:r>
    </w:p>
  </w:footnote>
  <w:footnote w:id="23">
    <w:p w14:paraId="2410DB6E" w14:textId="17289F58" w:rsidR="009A578C" w:rsidRPr="00AE7108" w:rsidRDefault="009A578C">
      <w:pPr>
        <w:pStyle w:val="FootnoteText"/>
      </w:pPr>
      <w:r>
        <w:rPr>
          <w:rStyle w:val="FootnoteReference"/>
        </w:rPr>
        <w:footnoteRef/>
      </w:r>
      <w:r>
        <w:t xml:space="preserve"> </w:t>
      </w:r>
      <w:r w:rsidRPr="00AE7108">
        <w:t>Nakicenovic, N</w:t>
      </w:r>
      <w:r>
        <w:t>., Lempert, R.J., Janetos, A.C. (</w:t>
      </w:r>
      <w:r w:rsidRPr="00AE7108">
        <w:t>2014</w:t>
      </w:r>
      <w:r>
        <w:t>)</w:t>
      </w:r>
      <w:r w:rsidRPr="00AE7108">
        <w:t xml:space="preserve"> A Framework for the Development of New Socio-economic Scenarios for Climate Change Research: Introductory Essay. </w:t>
      </w:r>
      <w:r w:rsidRPr="005B3050">
        <w:rPr>
          <w:i/>
        </w:rPr>
        <w:t>Climatic Change</w:t>
      </w:r>
      <w:r w:rsidRPr="00AE7108">
        <w:t xml:space="preserve"> </w:t>
      </w:r>
      <w:r w:rsidRPr="005B3050">
        <w:rPr>
          <w:b/>
        </w:rPr>
        <w:t>122</w:t>
      </w:r>
      <w:r w:rsidRPr="00AE7108">
        <w:t>, 351–361. doi:10.1007/s10584-013-0982-2</w:t>
      </w:r>
      <w:r>
        <w:t>.</w:t>
      </w:r>
    </w:p>
  </w:footnote>
  <w:footnote w:id="24">
    <w:p w14:paraId="1F3C3F83" w14:textId="45B689A9" w:rsidR="009A578C" w:rsidRPr="006D77DC" w:rsidRDefault="009A578C">
      <w:pPr>
        <w:pStyle w:val="FootnoteText"/>
        <w:rPr>
          <w:lang w:val="de-AT"/>
        </w:rPr>
      </w:pPr>
      <w:r>
        <w:rPr>
          <w:rStyle w:val="FootnoteReference"/>
        </w:rPr>
        <w:footnoteRef/>
      </w:r>
      <w:r>
        <w:t xml:space="preserve"> </w:t>
      </w:r>
      <w:r w:rsidRPr="006D77DC">
        <w:t>Bouwman, L</w:t>
      </w:r>
      <w:r>
        <w:t>., et al. (2013)</w:t>
      </w:r>
      <w:r w:rsidRPr="006D77DC">
        <w:t xml:space="preserve"> Exploring global changes in nitrogen and phosphorus cycles in agriculture induced by livestock production over the 1900–2050 period. PNAS 110, 20882–20887. doi:10.1073/pnas.1012878108</w:t>
      </w:r>
      <w:r>
        <w:t>.</w:t>
      </w:r>
    </w:p>
  </w:footnote>
  <w:footnote w:id="25">
    <w:p w14:paraId="2A355214" w14:textId="6B03F0B9" w:rsidR="009A578C" w:rsidRPr="006D77DC" w:rsidRDefault="009A578C">
      <w:pPr>
        <w:pStyle w:val="FootnoteText"/>
        <w:rPr>
          <w:lang w:val="de-AT"/>
        </w:rPr>
      </w:pPr>
      <w:r>
        <w:rPr>
          <w:rStyle w:val="FootnoteReference"/>
        </w:rPr>
        <w:footnoteRef/>
      </w:r>
      <w:r w:rsidRPr="006D77DC">
        <w:rPr>
          <w:lang w:val="en-US"/>
        </w:rPr>
        <w:t xml:space="preserve"> Bodirsky, B.L., et a</w:t>
      </w:r>
      <w:r>
        <w:rPr>
          <w:lang w:val="en-US"/>
        </w:rPr>
        <w:t>l. (2014)</w:t>
      </w:r>
      <w:r w:rsidRPr="006D77DC">
        <w:rPr>
          <w:lang w:val="en-US"/>
        </w:rPr>
        <w:t xml:space="preserve"> </w:t>
      </w:r>
      <w:r w:rsidRPr="006D77DC">
        <w:t xml:space="preserve">Reactive nitrogen requirements to feed the world in 2050 and potential to mitigate nitrogen pollution. </w:t>
      </w:r>
      <w:r w:rsidRPr="005B3050">
        <w:rPr>
          <w:i/>
        </w:rPr>
        <w:t>Nature Communications</w:t>
      </w:r>
      <w:r w:rsidRPr="006D77DC">
        <w:t xml:space="preserve"> </w:t>
      </w:r>
      <w:r w:rsidRPr="005B3050">
        <w:rPr>
          <w:b/>
        </w:rPr>
        <w:t>5</w:t>
      </w:r>
      <w:r w:rsidRPr="006D77DC">
        <w:t>. doi:10.1038/ncomms4858</w:t>
      </w:r>
      <w:r>
        <w:t>.</w:t>
      </w:r>
    </w:p>
  </w:footnote>
  <w:footnote w:id="26">
    <w:p w14:paraId="6955D9B2" w14:textId="57BE1E14" w:rsidR="009A578C" w:rsidRPr="006D77DC" w:rsidRDefault="009A578C">
      <w:pPr>
        <w:pStyle w:val="FootnoteText"/>
        <w:rPr>
          <w:lang w:val="de-AT"/>
        </w:rPr>
      </w:pPr>
      <w:r>
        <w:rPr>
          <w:rStyle w:val="FootnoteReference"/>
        </w:rPr>
        <w:footnoteRef/>
      </w:r>
      <w:r>
        <w:t xml:space="preserve"> </w:t>
      </w:r>
      <w:r w:rsidRPr="006D77DC">
        <w:t xml:space="preserve">Winiwarter, W., </w:t>
      </w:r>
      <w:r>
        <w:t>et al. (2013)</w:t>
      </w:r>
      <w:r w:rsidRPr="006D77DC">
        <w:t xml:space="preserve"> Estimating environmentally relevant fixed nitrogen demand in the 21</w:t>
      </w:r>
      <w:r w:rsidRPr="006D77DC">
        <w:rPr>
          <w:vertAlign w:val="superscript"/>
        </w:rPr>
        <w:t>st</w:t>
      </w:r>
      <w:r w:rsidRPr="006D77DC">
        <w:t xml:space="preserve"> century</w:t>
      </w:r>
      <w:r w:rsidRPr="005B3050">
        <w:rPr>
          <w:i/>
        </w:rPr>
        <w:t>. Climatic Change</w:t>
      </w:r>
      <w:r w:rsidRPr="006D77DC">
        <w:t xml:space="preserve"> </w:t>
      </w:r>
      <w:r w:rsidRPr="005B3050">
        <w:rPr>
          <w:b/>
        </w:rPr>
        <w:t>120</w:t>
      </w:r>
      <w:r w:rsidRPr="006D77DC">
        <w:t>, 889–901. doi:10.1007/s10584-013-0834-0</w:t>
      </w:r>
      <w:r>
        <w:t>.</w:t>
      </w:r>
    </w:p>
  </w:footnote>
  <w:footnote w:id="27">
    <w:p w14:paraId="67F838F4" w14:textId="08887062" w:rsidR="009A578C" w:rsidRPr="006D77DC" w:rsidRDefault="009A578C" w:rsidP="006D77DC">
      <w:pPr>
        <w:pStyle w:val="FootnoteText"/>
        <w:rPr>
          <w:lang w:val="en-US"/>
        </w:rPr>
      </w:pPr>
      <w:r>
        <w:rPr>
          <w:rStyle w:val="FootnoteReference"/>
        </w:rPr>
        <w:footnoteRef/>
      </w:r>
      <w:r w:rsidRPr="006D77DC">
        <w:t xml:space="preserve"> Rockström, J., </w:t>
      </w:r>
      <w:r>
        <w:rPr>
          <w:lang w:val="de-AT"/>
        </w:rPr>
        <w:t>et al</w:t>
      </w:r>
      <w:r>
        <w:t>. (2009)</w:t>
      </w:r>
      <w:r w:rsidRPr="006D77DC">
        <w:t xml:space="preserve"> </w:t>
      </w:r>
      <w:r>
        <w:t xml:space="preserve">A safe operating space for humanity. </w:t>
      </w:r>
      <w:r w:rsidRPr="005B3050">
        <w:rPr>
          <w:i/>
        </w:rPr>
        <w:t>Nature</w:t>
      </w:r>
      <w:r>
        <w:t xml:space="preserve"> </w:t>
      </w:r>
      <w:r w:rsidRPr="005B3050">
        <w:rPr>
          <w:b/>
        </w:rPr>
        <w:t>461</w:t>
      </w:r>
      <w:r>
        <w:t>, 472–475.</w:t>
      </w:r>
    </w:p>
  </w:footnote>
  <w:footnote w:id="28">
    <w:p w14:paraId="4CCFADF6" w14:textId="7AF42C75" w:rsidR="009A578C" w:rsidRPr="006D77DC" w:rsidRDefault="009A578C">
      <w:pPr>
        <w:pStyle w:val="FootnoteText"/>
      </w:pPr>
      <w:r>
        <w:rPr>
          <w:rStyle w:val="FootnoteReference"/>
        </w:rPr>
        <w:footnoteRef/>
      </w:r>
      <w:r>
        <w:t xml:space="preserve"> Steffen, W., et al. (2015) Planetary boundaries: Guiding human development on a changing planet. </w:t>
      </w:r>
      <w:r w:rsidRPr="005B3050">
        <w:rPr>
          <w:i/>
        </w:rPr>
        <w:t>Science</w:t>
      </w:r>
      <w:r>
        <w:t xml:space="preserve"> 1259855. doi:10.1126/science.1259855.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000BE" w14:textId="011012C8" w:rsidR="009A578C" w:rsidRPr="00E47A8E" w:rsidRDefault="009A578C">
    <w:pPr>
      <w:pStyle w:val="Header"/>
      <w:rPr>
        <w:b/>
        <w:i/>
      </w:rPr>
    </w:pPr>
    <w:r>
      <w:rPr>
        <w:b/>
        <w:i/>
      </w:rPr>
      <w:t>Appendix 16</w:t>
    </w:r>
    <w:r w:rsidRPr="00E47A8E">
      <w:rPr>
        <w:b/>
        <w:i/>
      </w:rPr>
      <w:tab/>
    </w:r>
    <w:r w:rsidRPr="00E47A8E">
      <w:rPr>
        <w:b/>
        <w:i/>
      </w:rPr>
      <w:tab/>
      <w:t xml:space="preserve">INMS – </w:t>
    </w:r>
    <w:r>
      <w:rPr>
        <w:b/>
        <w:i/>
      </w:rPr>
      <w:t>Component 2</w:t>
    </w:r>
  </w:p>
  <w:p w14:paraId="7AEE83AA" w14:textId="77777777" w:rsidR="009A578C" w:rsidRDefault="009A5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F991" w14:textId="77777777" w:rsidR="009A578C" w:rsidRPr="00E47A8E" w:rsidRDefault="009A578C">
    <w:pPr>
      <w:pStyle w:val="Header"/>
      <w:rPr>
        <w:b/>
        <w:i/>
      </w:rPr>
    </w:pPr>
    <w:r>
      <w:rPr>
        <w:b/>
        <w:i/>
      </w:rPr>
      <w:t>Appendix 16</w:t>
    </w:r>
    <w:r w:rsidRPr="00E47A8E">
      <w:rPr>
        <w:b/>
        <w:i/>
      </w:rPr>
      <w:tab/>
    </w:r>
    <w:r w:rsidRPr="00E47A8E">
      <w:rPr>
        <w:b/>
        <w:i/>
      </w:rPr>
      <w:tab/>
      <w:t xml:space="preserve">INMS – </w:t>
    </w:r>
    <w:r>
      <w:rPr>
        <w:b/>
        <w:i/>
      </w:rPr>
      <w:t>Component 2</w:t>
    </w:r>
  </w:p>
  <w:p w14:paraId="0F84F86F" w14:textId="77777777" w:rsidR="009A578C" w:rsidRDefault="009A57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A7129" w14:textId="77777777" w:rsidR="009A578C" w:rsidRPr="00E47A8E" w:rsidRDefault="009A578C">
    <w:pPr>
      <w:pStyle w:val="Header"/>
      <w:rPr>
        <w:b/>
        <w:i/>
      </w:rPr>
    </w:pPr>
    <w:r>
      <w:rPr>
        <w:b/>
        <w:i/>
      </w:rPr>
      <w:t>Appendix 16</w:t>
    </w:r>
    <w:r w:rsidRPr="00E47A8E">
      <w:rPr>
        <w:b/>
        <w:i/>
      </w:rPr>
      <w:tab/>
    </w:r>
    <w:r w:rsidRPr="00E47A8E">
      <w:rPr>
        <w:b/>
        <w:i/>
      </w:rPr>
      <w:tab/>
      <w:t xml:space="preserve">INMS – </w:t>
    </w:r>
    <w:r>
      <w:rPr>
        <w:b/>
        <w:i/>
      </w:rPr>
      <w:t>Component 2</w:t>
    </w:r>
  </w:p>
  <w:p w14:paraId="4DA3F362" w14:textId="77777777" w:rsidR="009A578C" w:rsidRDefault="009A5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D4D"/>
    <w:multiLevelType w:val="multilevel"/>
    <w:tmpl w:val="57B081BC"/>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B3F056A"/>
    <w:multiLevelType w:val="hybridMultilevel"/>
    <w:tmpl w:val="BF80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B3C3A"/>
    <w:multiLevelType w:val="hybridMultilevel"/>
    <w:tmpl w:val="83CE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D7254"/>
    <w:multiLevelType w:val="hybridMultilevel"/>
    <w:tmpl w:val="4C3E795C"/>
    <w:lvl w:ilvl="0" w:tplc="5CC2012C">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A673E99"/>
    <w:multiLevelType w:val="hybridMultilevel"/>
    <w:tmpl w:val="B67ADB9C"/>
    <w:lvl w:ilvl="0" w:tplc="0308C1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14C56"/>
    <w:multiLevelType w:val="multilevel"/>
    <w:tmpl w:val="B85C2A50"/>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1152"/>
        </w:tabs>
        <w:ind w:left="1152" w:hanging="432"/>
      </w:pPr>
      <w:rPr>
        <w:rFonts w:ascii="Wingdings" w:hAnsi="Wingdings" w:cs="Wingding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EE34879"/>
    <w:multiLevelType w:val="hybridMultilevel"/>
    <w:tmpl w:val="2C4E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C7C73"/>
    <w:multiLevelType w:val="multilevel"/>
    <w:tmpl w:val="145ED8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3BE2370"/>
    <w:multiLevelType w:val="multilevel"/>
    <w:tmpl w:val="662ABFC6"/>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6DD5BFC"/>
    <w:multiLevelType w:val="hybridMultilevel"/>
    <w:tmpl w:val="A320A0F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716AB6"/>
    <w:multiLevelType w:val="multilevel"/>
    <w:tmpl w:val="4A4CCD4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4AF722BC"/>
    <w:multiLevelType w:val="hybridMultilevel"/>
    <w:tmpl w:val="8C2C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31365"/>
    <w:multiLevelType w:val="multilevel"/>
    <w:tmpl w:val="A4F2826C"/>
    <w:lvl w:ilvl="0">
      <w:start w:val="3"/>
      <w:numFmt w:val="lowerLetter"/>
      <w:lvlText w:val="(%1)"/>
      <w:lvlJc w:val="left"/>
      <w:pPr>
        <w:tabs>
          <w:tab w:val="num" w:pos="720"/>
        </w:tabs>
        <w:ind w:left="720" w:hanging="360"/>
      </w:pPr>
      <w:rPr>
        <w:rFonts w:hint="default"/>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66D4F3B"/>
    <w:multiLevelType w:val="multilevel"/>
    <w:tmpl w:val="B3C620E6"/>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621F17B7"/>
    <w:multiLevelType w:val="multilevel"/>
    <w:tmpl w:val="11B463A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65C328A6"/>
    <w:multiLevelType w:val="hybridMultilevel"/>
    <w:tmpl w:val="40AC5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267C05"/>
    <w:multiLevelType w:val="multilevel"/>
    <w:tmpl w:val="5C50D41E"/>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770306F7"/>
    <w:multiLevelType w:val="hybridMultilevel"/>
    <w:tmpl w:val="C9CA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DF4FB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2"/>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15"/>
  </w:num>
  <w:num w:numId="13">
    <w:abstractNumId w:val="11"/>
  </w:num>
  <w:num w:numId="14">
    <w:abstractNumId w:val="2"/>
  </w:num>
  <w:num w:numId="15">
    <w:abstractNumId w:val="9"/>
  </w:num>
  <w:num w:numId="16">
    <w:abstractNumId w:val="17"/>
  </w:num>
  <w:num w:numId="17">
    <w:abstractNumId w:val="4"/>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E2"/>
    <w:rsid w:val="00001B31"/>
    <w:rsid w:val="0000345D"/>
    <w:rsid w:val="00003AF4"/>
    <w:rsid w:val="00010918"/>
    <w:rsid w:val="000200DA"/>
    <w:rsid w:val="000439B9"/>
    <w:rsid w:val="000457A7"/>
    <w:rsid w:val="00061E4B"/>
    <w:rsid w:val="000722A6"/>
    <w:rsid w:val="00073ACB"/>
    <w:rsid w:val="000810C8"/>
    <w:rsid w:val="00083B24"/>
    <w:rsid w:val="00090F3E"/>
    <w:rsid w:val="000932F5"/>
    <w:rsid w:val="00096B75"/>
    <w:rsid w:val="000A2D3F"/>
    <w:rsid w:val="000A3525"/>
    <w:rsid w:val="000A4D48"/>
    <w:rsid w:val="000B196E"/>
    <w:rsid w:val="000B1EB3"/>
    <w:rsid w:val="000C3A94"/>
    <w:rsid w:val="000C5321"/>
    <w:rsid w:val="000C5E0A"/>
    <w:rsid w:val="000D0B4B"/>
    <w:rsid w:val="000E0F7F"/>
    <w:rsid w:val="000E52FA"/>
    <w:rsid w:val="000F5048"/>
    <w:rsid w:val="00102E5B"/>
    <w:rsid w:val="00107A75"/>
    <w:rsid w:val="00110323"/>
    <w:rsid w:val="00110562"/>
    <w:rsid w:val="00116119"/>
    <w:rsid w:val="00141B5F"/>
    <w:rsid w:val="00154ABC"/>
    <w:rsid w:val="001577AC"/>
    <w:rsid w:val="00166990"/>
    <w:rsid w:val="001721F2"/>
    <w:rsid w:val="00175689"/>
    <w:rsid w:val="00183A5C"/>
    <w:rsid w:val="00185A10"/>
    <w:rsid w:val="001B25B6"/>
    <w:rsid w:val="001B3DA8"/>
    <w:rsid w:val="001C475A"/>
    <w:rsid w:val="001C72AB"/>
    <w:rsid w:val="001D1524"/>
    <w:rsid w:val="001D72C1"/>
    <w:rsid w:val="001F7429"/>
    <w:rsid w:val="002076F0"/>
    <w:rsid w:val="00213334"/>
    <w:rsid w:val="00214583"/>
    <w:rsid w:val="00224879"/>
    <w:rsid w:val="00225666"/>
    <w:rsid w:val="00227C4D"/>
    <w:rsid w:val="00244E7E"/>
    <w:rsid w:val="00247756"/>
    <w:rsid w:val="00251632"/>
    <w:rsid w:val="002820B9"/>
    <w:rsid w:val="00284B7E"/>
    <w:rsid w:val="00291A4F"/>
    <w:rsid w:val="00292ABD"/>
    <w:rsid w:val="0029388E"/>
    <w:rsid w:val="00296D6F"/>
    <w:rsid w:val="002A2828"/>
    <w:rsid w:val="002A2D23"/>
    <w:rsid w:val="002A38BD"/>
    <w:rsid w:val="002C5D1A"/>
    <w:rsid w:val="002D12F2"/>
    <w:rsid w:val="002D29B7"/>
    <w:rsid w:val="002D43A4"/>
    <w:rsid w:val="002D6D36"/>
    <w:rsid w:val="002E6F52"/>
    <w:rsid w:val="002E7C9B"/>
    <w:rsid w:val="0030092F"/>
    <w:rsid w:val="00326138"/>
    <w:rsid w:val="00341452"/>
    <w:rsid w:val="00342697"/>
    <w:rsid w:val="00366EB4"/>
    <w:rsid w:val="00382984"/>
    <w:rsid w:val="00396E7B"/>
    <w:rsid w:val="00397F53"/>
    <w:rsid w:val="003B2E8E"/>
    <w:rsid w:val="003C4463"/>
    <w:rsid w:val="003C72B4"/>
    <w:rsid w:val="003D4763"/>
    <w:rsid w:val="003E1784"/>
    <w:rsid w:val="003E18D1"/>
    <w:rsid w:val="003E2A47"/>
    <w:rsid w:val="00405741"/>
    <w:rsid w:val="00407C98"/>
    <w:rsid w:val="004106B2"/>
    <w:rsid w:val="00411785"/>
    <w:rsid w:val="00415B28"/>
    <w:rsid w:val="00420C3A"/>
    <w:rsid w:val="00442A77"/>
    <w:rsid w:val="004430F2"/>
    <w:rsid w:val="00444FED"/>
    <w:rsid w:val="00445DED"/>
    <w:rsid w:val="00456A97"/>
    <w:rsid w:val="00456F2C"/>
    <w:rsid w:val="0047388B"/>
    <w:rsid w:val="00483BE1"/>
    <w:rsid w:val="004902C6"/>
    <w:rsid w:val="00492F7A"/>
    <w:rsid w:val="004B2E10"/>
    <w:rsid w:val="004C34C5"/>
    <w:rsid w:val="004C3595"/>
    <w:rsid w:val="004C43F7"/>
    <w:rsid w:val="004C554D"/>
    <w:rsid w:val="004D0FD3"/>
    <w:rsid w:val="004E2CCE"/>
    <w:rsid w:val="004E3425"/>
    <w:rsid w:val="00523ABA"/>
    <w:rsid w:val="00524654"/>
    <w:rsid w:val="00545673"/>
    <w:rsid w:val="00554257"/>
    <w:rsid w:val="00556967"/>
    <w:rsid w:val="005630D9"/>
    <w:rsid w:val="005642F8"/>
    <w:rsid w:val="00564DC1"/>
    <w:rsid w:val="0056759C"/>
    <w:rsid w:val="00582F27"/>
    <w:rsid w:val="0059334F"/>
    <w:rsid w:val="005A14BF"/>
    <w:rsid w:val="005B3050"/>
    <w:rsid w:val="005C05F2"/>
    <w:rsid w:val="005C151F"/>
    <w:rsid w:val="005C702A"/>
    <w:rsid w:val="005E241F"/>
    <w:rsid w:val="005F046B"/>
    <w:rsid w:val="005F5BC1"/>
    <w:rsid w:val="006122FB"/>
    <w:rsid w:val="006334BF"/>
    <w:rsid w:val="006374FF"/>
    <w:rsid w:val="00665EEE"/>
    <w:rsid w:val="00672A4F"/>
    <w:rsid w:val="00675FC3"/>
    <w:rsid w:val="0068236A"/>
    <w:rsid w:val="0069637C"/>
    <w:rsid w:val="00696AF4"/>
    <w:rsid w:val="006A264D"/>
    <w:rsid w:val="006A3E26"/>
    <w:rsid w:val="006A4BEF"/>
    <w:rsid w:val="006C52F3"/>
    <w:rsid w:val="006D77DC"/>
    <w:rsid w:val="006E520C"/>
    <w:rsid w:val="006E605E"/>
    <w:rsid w:val="006F21A9"/>
    <w:rsid w:val="006F7C8D"/>
    <w:rsid w:val="006F7FFC"/>
    <w:rsid w:val="0070036F"/>
    <w:rsid w:val="00717295"/>
    <w:rsid w:val="007301C9"/>
    <w:rsid w:val="00743A3F"/>
    <w:rsid w:val="007449D1"/>
    <w:rsid w:val="0075032F"/>
    <w:rsid w:val="007530C5"/>
    <w:rsid w:val="00756DFF"/>
    <w:rsid w:val="00786449"/>
    <w:rsid w:val="0079063A"/>
    <w:rsid w:val="00791DE5"/>
    <w:rsid w:val="007A156C"/>
    <w:rsid w:val="007B3B47"/>
    <w:rsid w:val="007B6374"/>
    <w:rsid w:val="007D1C94"/>
    <w:rsid w:val="007D78E2"/>
    <w:rsid w:val="007D7A4E"/>
    <w:rsid w:val="007E5A02"/>
    <w:rsid w:val="007F25B2"/>
    <w:rsid w:val="00801504"/>
    <w:rsid w:val="00813B22"/>
    <w:rsid w:val="008228A1"/>
    <w:rsid w:val="00826DC4"/>
    <w:rsid w:val="00861050"/>
    <w:rsid w:val="00872C9F"/>
    <w:rsid w:val="008748F0"/>
    <w:rsid w:val="0087631F"/>
    <w:rsid w:val="008835DF"/>
    <w:rsid w:val="00886B26"/>
    <w:rsid w:val="00894564"/>
    <w:rsid w:val="0089723F"/>
    <w:rsid w:val="008A39F2"/>
    <w:rsid w:val="008A7D87"/>
    <w:rsid w:val="008B01BD"/>
    <w:rsid w:val="008B705D"/>
    <w:rsid w:val="008C0983"/>
    <w:rsid w:val="008C67F1"/>
    <w:rsid w:val="008D1642"/>
    <w:rsid w:val="008D3BC0"/>
    <w:rsid w:val="008F41BD"/>
    <w:rsid w:val="00903C61"/>
    <w:rsid w:val="00904023"/>
    <w:rsid w:val="009046DC"/>
    <w:rsid w:val="00914036"/>
    <w:rsid w:val="00917BA9"/>
    <w:rsid w:val="00922F12"/>
    <w:rsid w:val="00924FA7"/>
    <w:rsid w:val="00930B16"/>
    <w:rsid w:val="00931BAE"/>
    <w:rsid w:val="0095336E"/>
    <w:rsid w:val="00954F57"/>
    <w:rsid w:val="00962BB4"/>
    <w:rsid w:val="00964282"/>
    <w:rsid w:val="0096525C"/>
    <w:rsid w:val="00971771"/>
    <w:rsid w:val="00972811"/>
    <w:rsid w:val="00972AC5"/>
    <w:rsid w:val="00974841"/>
    <w:rsid w:val="00975AF1"/>
    <w:rsid w:val="00981AFF"/>
    <w:rsid w:val="00982329"/>
    <w:rsid w:val="00983F7C"/>
    <w:rsid w:val="00984CD3"/>
    <w:rsid w:val="0099556F"/>
    <w:rsid w:val="009A578C"/>
    <w:rsid w:val="009B4FD1"/>
    <w:rsid w:val="009C7A88"/>
    <w:rsid w:val="009D6C42"/>
    <w:rsid w:val="009E73E8"/>
    <w:rsid w:val="00A01549"/>
    <w:rsid w:val="00A25B3B"/>
    <w:rsid w:val="00A34B25"/>
    <w:rsid w:val="00A431F7"/>
    <w:rsid w:val="00A43B7B"/>
    <w:rsid w:val="00A61AD0"/>
    <w:rsid w:val="00A62147"/>
    <w:rsid w:val="00A6487B"/>
    <w:rsid w:val="00A8397E"/>
    <w:rsid w:val="00A90284"/>
    <w:rsid w:val="00A90833"/>
    <w:rsid w:val="00AA5594"/>
    <w:rsid w:val="00AB104C"/>
    <w:rsid w:val="00AB6E44"/>
    <w:rsid w:val="00AB7229"/>
    <w:rsid w:val="00AC39AC"/>
    <w:rsid w:val="00AC651A"/>
    <w:rsid w:val="00AC7281"/>
    <w:rsid w:val="00AC7A13"/>
    <w:rsid w:val="00AD01FF"/>
    <w:rsid w:val="00AE4C86"/>
    <w:rsid w:val="00AE7108"/>
    <w:rsid w:val="00AF3B5E"/>
    <w:rsid w:val="00AF76DC"/>
    <w:rsid w:val="00B122D7"/>
    <w:rsid w:val="00B20E21"/>
    <w:rsid w:val="00B42246"/>
    <w:rsid w:val="00B44B7A"/>
    <w:rsid w:val="00B4654E"/>
    <w:rsid w:val="00B70C27"/>
    <w:rsid w:val="00B7273B"/>
    <w:rsid w:val="00B74692"/>
    <w:rsid w:val="00B861EE"/>
    <w:rsid w:val="00B87ABE"/>
    <w:rsid w:val="00B9027C"/>
    <w:rsid w:val="00B90F44"/>
    <w:rsid w:val="00BA40A8"/>
    <w:rsid w:val="00BB390F"/>
    <w:rsid w:val="00BB495F"/>
    <w:rsid w:val="00BB5178"/>
    <w:rsid w:val="00BB55D2"/>
    <w:rsid w:val="00BE1800"/>
    <w:rsid w:val="00BF5F64"/>
    <w:rsid w:val="00C10F11"/>
    <w:rsid w:val="00C34BEB"/>
    <w:rsid w:val="00C43F15"/>
    <w:rsid w:val="00C4543F"/>
    <w:rsid w:val="00C45FA4"/>
    <w:rsid w:val="00C56337"/>
    <w:rsid w:val="00C64F98"/>
    <w:rsid w:val="00C655FC"/>
    <w:rsid w:val="00C85D09"/>
    <w:rsid w:val="00C874BA"/>
    <w:rsid w:val="00CB6F78"/>
    <w:rsid w:val="00CC386B"/>
    <w:rsid w:val="00CD4C41"/>
    <w:rsid w:val="00CD6862"/>
    <w:rsid w:val="00CE5582"/>
    <w:rsid w:val="00CF0D31"/>
    <w:rsid w:val="00CF2F0A"/>
    <w:rsid w:val="00CF37B0"/>
    <w:rsid w:val="00CF475F"/>
    <w:rsid w:val="00D04814"/>
    <w:rsid w:val="00D2541A"/>
    <w:rsid w:val="00D31FD8"/>
    <w:rsid w:val="00D60E02"/>
    <w:rsid w:val="00D64037"/>
    <w:rsid w:val="00D87DFB"/>
    <w:rsid w:val="00D913A9"/>
    <w:rsid w:val="00DA42B4"/>
    <w:rsid w:val="00DB7B51"/>
    <w:rsid w:val="00DD0D30"/>
    <w:rsid w:val="00DD1610"/>
    <w:rsid w:val="00DD5993"/>
    <w:rsid w:val="00DE150D"/>
    <w:rsid w:val="00DE736E"/>
    <w:rsid w:val="00DF1727"/>
    <w:rsid w:val="00DF489A"/>
    <w:rsid w:val="00DF4D82"/>
    <w:rsid w:val="00E14CE1"/>
    <w:rsid w:val="00E15D97"/>
    <w:rsid w:val="00E17DEE"/>
    <w:rsid w:val="00E32E48"/>
    <w:rsid w:val="00E351C0"/>
    <w:rsid w:val="00E42AEF"/>
    <w:rsid w:val="00E43EC4"/>
    <w:rsid w:val="00E4477B"/>
    <w:rsid w:val="00E47A8E"/>
    <w:rsid w:val="00E524B7"/>
    <w:rsid w:val="00E53164"/>
    <w:rsid w:val="00E54B14"/>
    <w:rsid w:val="00E54FFB"/>
    <w:rsid w:val="00E63547"/>
    <w:rsid w:val="00E75E3E"/>
    <w:rsid w:val="00E87D5A"/>
    <w:rsid w:val="00E91955"/>
    <w:rsid w:val="00E97591"/>
    <w:rsid w:val="00EB27E8"/>
    <w:rsid w:val="00EB715C"/>
    <w:rsid w:val="00EC65FD"/>
    <w:rsid w:val="00ED3092"/>
    <w:rsid w:val="00ED365F"/>
    <w:rsid w:val="00ED6E7A"/>
    <w:rsid w:val="00ED79A3"/>
    <w:rsid w:val="00F00C30"/>
    <w:rsid w:val="00F141BB"/>
    <w:rsid w:val="00F279AE"/>
    <w:rsid w:val="00F6304E"/>
    <w:rsid w:val="00F7451F"/>
    <w:rsid w:val="00FA1C2A"/>
    <w:rsid w:val="00FA74DC"/>
    <w:rsid w:val="00FB23C8"/>
    <w:rsid w:val="00FB322F"/>
    <w:rsid w:val="00FB4F99"/>
    <w:rsid w:val="00FC05D2"/>
    <w:rsid w:val="00FC05EA"/>
    <w:rsid w:val="00FC13B6"/>
    <w:rsid w:val="00FC3615"/>
    <w:rsid w:val="00FD6A55"/>
    <w:rsid w:val="00FE0122"/>
    <w:rsid w:val="00FE595D"/>
    <w:rsid w:val="00FE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FF562"/>
  <w15:docId w15:val="{4D7F5318-4695-4CA7-93F6-7C860425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5B28"/>
    <w:pPr>
      <w:keepNext/>
      <w:keepLines/>
      <w:numPr>
        <w:numId w:val="11"/>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15B28"/>
    <w:pPr>
      <w:keepNext/>
      <w:keepLines/>
      <w:numPr>
        <w:ilvl w:val="1"/>
        <w:numId w:val="11"/>
      </w:numPr>
      <w:spacing w:before="40" w:after="0"/>
      <w:outlineLvl w:val="1"/>
    </w:pPr>
    <w:rPr>
      <w:rFonts w:asciiTheme="majorHAnsi" w:eastAsiaTheme="majorEastAsia" w:hAnsiTheme="majorHAnsi"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415B28"/>
    <w:pPr>
      <w:keepNext/>
      <w:keepLines/>
      <w:numPr>
        <w:ilvl w:val="2"/>
        <w:numId w:val="11"/>
      </w:numPr>
      <w:spacing w:before="40" w:after="0"/>
      <w:outlineLvl w:val="2"/>
    </w:pPr>
    <w:rPr>
      <w:rFonts w:asciiTheme="majorHAnsi" w:eastAsiaTheme="majorEastAsia" w:hAnsiTheme="majorHAnsi"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AC7A13"/>
    <w:pPr>
      <w:keepNext/>
      <w:keepLines/>
      <w:numPr>
        <w:ilvl w:val="3"/>
        <w:numId w:val="11"/>
      </w:numPr>
      <w:spacing w:before="40" w:after="0"/>
      <w:outlineLvl w:val="3"/>
    </w:pPr>
    <w:rPr>
      <w:rFonts w:asciiTheme="majorHAnsi" w:eastAsiaTheme="majorEastAsia" w:hAnsiTheme="majorHAnsi" w:cstheme="majorBidi"/>
      <w:b/>
      <w:i/>
      <w:iCs/>
      <w:color w:val="2E74B5" w:themeColor="accent1" w:themeShade="BF"/>
      <w:sz w:val="24"/>
    </w:rPr>
  </w:style>
  <w:style w:type="paragraph" w:styleId="Heading5">
    <w:name w:val="heading 5"/>
    <w:basedOn w:val="Normal"/>
    <w:next w:val="Normal"/>
    <w:link w:val="Heading5Char"/>
    <w:uiPriority w:val="9"/>
    <w:semiHidden/>
    <w:unhideWhenUsed/>
    <w:qFormat/>
    <w:rsid w:val="007D78E2"/>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D78E2"/>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D78E2"/>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D78E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78E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28"/>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415B28"/>
    <w:rPr>
      <w:rFonts w:asciiTheme="majorHAnsi" w:eastAsiaTheme="majorEastAsia" w:hAnsiTheme="majorHAnsi" w:cstheme="majorBidi"/>
      <w:b/>
      <w:color w:val="2E74B5" w:themeColor="accent1" w:themeShade="BF"/>
      <w:sz w:val="28"/>
      <w:szCs w:val="26"/>
    </w:rPr>
  </w:style>
  <w:style w:type="character" w:customStyle="1" w:styleId="Heading3Char">
    <w:name w:val="Heading 3 Char"/>
    <w:basedOn w:val="DefaultParagraphFont"/>
    <w:link w:val="Heading3"/>
    <w:uiPriority w:val="9"/>
    <w:rsid w:val="00415B28"/>
    <w:rPr>
      <w:rFonts w:asciiTheme="majorHAnsi" w:eastAsiaTheme="majorEastAsia" w:hAnsiTheme="majorHAnsi" w:cstheme="majorBidi"/>
      <w:b/>
      <w:color w:val="2E74B5" w:themeColor="accent1" w:themeShade="BF"/>
      <w:sz w:val="24"/>
      <w:szCs w:val="24"/>
    </w:rPr>
  </w:style>
  <w:style w:type="character" w:customStyle="1" w:styleId="Heading4Char">
    <w:name w:val="Heading 4 Char"/>
    <w:basedOn w:val="DefaultParagraphFont"/>
    <w:link w:val="Heading4"/>
    <w:uiPriority w:val="9"/>
    <w:rsid w:val="00AC7A13"/>
    <w:rPr>
      <w:rFonts w:asciiTheme="majorHAnsi" w:eastAsiaTheme="majorEastAsia" w:hAnsiTheme="majorHAnsi" w:cstheme="majorBidi"/>
      <w:b/>
      <w:i/>
      <w:iCs/>
      <w:color w:val="2E74B5" w:themeColor="accent1" w:themeShade="BF"/>
      <w:sz w:val="24"/>
    </w:rPr>
  </w:style>
  <w:style w:type="character" w:customStyle="1" w:styleId="Heading5Char">
    <w:name w:val="Heading 5 Char"/>
    <w:basedOn w:val="DefaultParagraphFont"/>
    <w:link w:val="Heading5"/>
    <w:uiPriority w:val="9"/>
    <w:semiHidden/>
    <w:rsid w:val="007D78E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D78E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D78E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D78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78E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C13B6"/>
    <w:pPr>
      <w:numPr>
        <w:numId w:val="0"/>
      </w:numPr>
      <w:outlineLvl w:val="9"/>
    </w:pPr>
    <w:rPr>
      <w:lang w:val="en-US"/>
    </w:rPr>
  </w:style>
  <w:style w:type="paragraph" w:styleId="TOC1">
    <w:name w:val="toc 1"/>
    <w:basedOn w:val="Normal"/>
    <w:next w:val="Normal"/>
    <w:autoRedefine/>
    <w:uiPriority w:val="39"/>
    <w:unhideWhenUsed/>
    <w:rsid w:val="00FC13B6"/>
    <w:pPr>
      <w:spacing w:after="100"/>
    </w:pPr>
  </w:style>
  <w:style w:type="paragraph" w:styleId="TOC2">
    <w:name w:val="toc 2"/>
    <w:basedOn w:val="Normal"/>
    <w:next w:val="Normal"/>
    <w:autoRedefine/>
    <w:uiPriority w:val="39"/>
    <w:unhideWhenUsed/>
    <w:rsid w:val="00FC13B6"/>
    <w:pPr>
      <w:spacing w:after="100"/>
      <w:ind w:left="220"/>
    </w:pPr>
  </w:style>
  <w:style w:type="paragraph" w:styleId="TOC3">
    <w:name w:val="toc 3"/>
    <w:basedOn w:val="Normal"/>
    <w:next w:val="Normal"/>
    <w:autoRedefine/>
    <w:uiPriority w:val="39"/>
    <w:unhideWhenUsed/>
    <w:rsid w:val="00FC13B6"/>
    <w:pPr>
      <w:spacing w:after="100"/>
      <w:ind w:left="440"/>
    </w:pPr>
  </w:style>
  <w:style w:type="character" w:styleId="Hyperlink">
    <w:name w:val="Hyperlink"/>
    <w:basedOn w:val="DefaultParagraphFont"/>
    <w:uiPriority w:val="99"/>
    <w:unhideWhenUsed/>
    <w:rsid w:val="00FC13B6"/>
    <w:rPr>
      <w:color w:val="0563C1" w:themeColor="hyperlink"/>
      <w:u w:val="single"/>
    </w:rPr>
  </w:style>
  <w:style w:type="paragraph" w:styleId="Header">
    <w:name w:val="header"/>
    <w:basedOn w:val="Normal"/>
    <w:link w:val="HeaderChar"/>
    <w:uiPriority w:val="99"/>
    <w:unhideWhenUsed/>
    <w:rsid w:val="00E47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A8E"/>
  </w:style>
  <w:style w:type="paragraph" w:styleId="Footer">
    <w:name w:val="footer"/>
    <w:basedOn w:val="Normal"/>
    <w:link w:val="FooterChar"/>
    <w:uiPriority w:val="99"/>
    <w:unhideWhenUsed/>
    <w:rsid w:val="00E47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A8E"/>
  </w:style>
  <w:style w:type="paragraph" w:customStyle="1" w:styleId="NonumberingHeading">
    <w:name w:val="No numbering Heading"/>
    <w:basedOn w:val="Heading1"/>
    <w:qFormat/>
    <w:rsid w:val="004C34C5"/>
    <w:pPr>
      <w:numPr>
        <w:numId w:val="0"/>
      </w:numPr>
    </w:pPr>
  </w:style>
  <w:style w:type="paragraph" w:styleId="ListParagraph">
    <w:name w:val="List Paragraph"/>
    <w:basedOn w:val="Normal"/>
    <w:uiPriority w:val="34"/>
    <w:qFormat/>
    <w:rsid w:val="00554257"/>
    <w:pPr>
      <w:ind w:left="720"/>
      <w:contextualSpacing/>
    </w:pPr>
  </w:style>
  <w:style w:type="paragraph" w:styleId="NormalWeb">
    <w:name w:val="Normal (Web)"/>
    <w:basedOn w:val="Normal"/>
    <w:uiPriority w:val="99"/>
    <w:semiHidden/>
    <w:unhideWhenUsed/>
    <w:rsid w:val="0055425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75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A6214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62147"/>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A62147"/>
    <w:rPr>
      <w:sz w:val="16"/>
      <w:szCs w:val="16"/>
    </w:rPr>
  </w:style>
  <w:style w:type="paragraph" w:styleId="BalloonText">
    <w:name w:val="Balloon Text"/>
    <w:basedOn w:val="Normal"/>
    <w:link w:val="BalloonTextChar"/>
    <w:uiPriority w:val="99"/>
    <w:semiHidden/>
    <w:unhideWhenUsed/>
    <w:rsid w:val="00A62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14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554D"/>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4C554D"/>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unhideWhenUsed/>
    <w:rsid w:val="002A38BD"/>
    <w:pPr>
      <w:spacing w:after="0" w:line="240" w:lineRule="auto"/>
    </w:pPr>
    <w:rPr>
      <w:sz w:val="20"/>
      <w:szCs w:val="20"/>
    </w:rPr>
  </w:style>
  <w:style w:type="character" w:customStyle="1" w:styleId="FootnoteTextChar">
    <w:name w:val="Footnote Text Char"/>
    <w:basedOn w:val="DefaultParagraphFont"/>
    <w:link w:val="FootnoteText"/>
    <w:uiPriority w:val="99"/>
    <w:rsid w:val="00EB27E8"/>
    <w:rPr>
      <w:sz w:val="20"/>
      <w:szCs w:val="20"/>
    </w:rPr>
  </w:style>
  <w:style w:type="character" w:styleId="FootnoteReference">
    <w:name w:val="footnote reference"/>
    <w:basedOn w:val="DefaultParagraphFont"/>
    <w:uiPriority w:val="99"/>
    <w:semiHidden/>
    <w:unhideWhenUsed/>
    <w:rsid w:val="00EB27E8"/>
    <w:rPr>
      <w:vertAlign w:val="superscript"/>
    </w:rPr>
  </w:style>
  <w:style w:type="paragraph" w:styleId="Caption">
    <w:name w:val="caption"/>
    <w:basedOn w:val="Normal"/>
    <w:next w:val="Normal"/>
    <w:uiPriority w:val="35"/>
    <w:unhideWhenUsed/>
    <w:qFormat/>
    <w:rsid w:val="00665EEE"/>
    <w:pPr>
      <w:spacing w:after="200" w:line="240" w:lineRule="auto"/>
    </w:pPr>
    <w:rPr>
      <w:i/>
      <w:iCs/>
      <w:color w:val="44546A" w:themeColor="text2"/>
      <w:sz w:val="18"/>
      <w:szCs w:val="18"/>
    </w:rPr>
  </w:style>
  <w:style w:type="paragraph" w:customStyle="1" w:styleId="Leaders">
    <w:name w:val="Leaders"/>
    <w:basedOn w:val="Normal"/>
    <w:qFormat/>
    <w:rsid w:val="00B7273B"/>
    <w:rPr>
      <w:i/>
      <w:noProof/>
      <w:color w:val="00B050"/>
    </w:rPr>
  </w:style>
  <w:style w:type="paragraph" w:styleId="PlainText">
    <w:name w:val="Plain Text"/>
    <w:basedOn w:val="Normal"/>
    <w:link w:val="PlainTextChar"/>
    <w:uiPriority w:val="99"/>
    <w:semiHidden/>
    <w:unhideWhenUsed/>
    <w:rsid w:val="000F504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F5048"/>
    <w:rPr>
      <w:rFonts w:ascii="Calibri" w:hAnsi="Calibri"/>
      <w:szCs w:val="21"/>
    </w:rPr>
  </w:style>
  <w:style w:type="character" w:styleId="LineNumber">
    <w:name w:val="line number"/>
    <w:basedOn w:val="DefaultParagraphFont"/>
    <w:uiPriority w:val="99"/>
    <w:semiHidden/>
    <w:unhideWhenUsed/>
    <w:rsid w:val="00D2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4835">
      <w:bodyDiv w:val="1"/>
      <w:marLeft w:val="0"/>
      <w:marRight w:val="0"/>
      <w:marTop w:val="0"/>
      <w:marBottom w:val="0"/>
      <w:divBdr>
        <w:top w:val="none" w:sz="0" w:space="0" w:color="auto"/>
        <w:left w:val="none" w:sz="0" w:space="0" w:color="auto"/>
        <w:bottom w:val="none" w:sz="0" w:space="0" w:color="auto"/>
        <w:right w:val="none" w:sz="0" w:space="0" w:color="auto"/>
      </w:divBdr>
    </w:div>
    <w:div w:id="52975092">
      <w:bodyDiv w:val="1"/>
      <w:marLeft w:val="0"/>
      <w:marRight w:val="0"/>
      <w:marTop w:val="0"/>
      <w:marBottom w:val="0"/>
      <w:divBdr>
        <w:top w:val="none" w:sz="0" w:space="0" w:color="auto"/>
        <w:left w:val="none" w:sz="0" w:space="0" w:color="auto"/>
        <w:bottom w:val="none" w:sz="0" w:space="0" w:color="auto"/>
        <w:right w:val="none" w:sz="0" w:space="0" w:color="auto"/>
      </w:divBdr>
    </w:div>
    <w:div w:id="81222379">
      <w:bodyDiv w:val="1"/>
      <w:marLeft w:val="0"/>
      <w:marRight w:val="0"/>
      <w:marTop w:val="0"/>
      <w:marBottom w:val="0"/>
      <w:divBdr>
        <w:top w:val="none" w:sz="0" w:space="0" w:color="auto"/>
        <w:left w:val="none" w:sz="0" w:space="0" w:color="auto"/>
        <w:bottom w:val="none" w:sz="0" w:space="0" w:color="auto"/>
        <w:right w:val="none" w:sz="0" w:space="0" w:color="auto"/>
      </w:divBdr>
    </w:div>
    <w:div w:id="145437482">
      <w:bodyDiv w:val="1"/>
      <w:marLeft w:val="0"/>
      <w:marRight w:val="0"/>
      <w:marTop w:val="0"/>
      <w:marBottom w:val="0"/>
      <w:divBdr>
        <w:top w:val="none" w:sz="0" w:space="0" w:color="auto"/>
        <w:left w:val="none" w:sz="0" w:space="0" w:color="auto"/>
        <w:bottom w:val="none" w:sz="0" w:space="0" w:color="auto"/>
        <w:right w:val="none" w:sz="0" w:space="0" w:color="auto"/>
      </w:divBdr>
    </w:div>
    <w:div w:id="174076338">
      <w:bodyDiv w:val="1"/>
      <w:marLeft w:val="0"/>
      <w:marRight w:val="0"/>
      <w:marTop w:val="0"/>
      <w:marBottom w:val="0"/>
      <w:divBdr>
        <w:top w:val="none" w:sz="0" w:space="0" w:color="auto"/>
        <w:left w:val="none" w:sz="0" w:space="0" w:color="auto"/>
        <w:bottom w:val="none" w:sz="0" w:space="0" w:color="auto"/>
        <w:right w:val="none" w:sz="0" w:space="0" w:color="auto"/>
      </w:divBdr>
    </w:div>
    <w:div w:id="229312042">
      <w:bodyDiv w:val="1"/>
      <w:marLeft w:val="0"/>
      <w:marRight w:val="0"/>
      <w:marTop w:val="0"/>
      <w:marBottom w:val="0"/>
      <w:divBdr>
        <w:top w:val="none" w:sz="0" w:space="0" w:color="auto"/>
        <w:left w:val="none" w:sz="0" w:space="0" w:color="auto"/>
        <w:bottom w:val="none" w:sz="0" w:space="0" w:color="auto"/>
        <w:right w:val="none" w:sz="0" w:space="0" w:color="auto"/>
      </w:divBdr>
    </w:div>
    <w:div w:id="234316376">
      <w:bodyDiv w:val="1"/>
      <w:marLeft w:val="0"/>
      <w:marRight w:val="0"/>
      <w:marTop w:val="0"/>
      <w:marBottom w:val="0"/>
      <w:divBdr>
        <w:top w:val="none" w:sz="0" w:space="0" w:color="auto"/>
        <w:left w:val="none" w:sz="0" w:space="0" w:color="auto"/>
        <w:bottom w:val="none" w:sz="0" w:space="0" w:color="auto"/>
        <w:right w:val="none" w:sz="0" w:space="0" w:color="auto"/>
      </w:divBdr>
    </w:div>
    <w:div w:id="255406041">
      <w:bodyDiv w:val="1"/>
      <w:marLeft w:val="0"/>
      <w:marRight w:val="0"/>
      <w:marTop w:val="0"/>
      <w:marBottom w:val="0"/>
      <w:divBdr>
        <w:top w:val="none" w:sz="0" w:space="0" w:color="auto"/>
        <w:left w:val="none" w:sz="0" w:space="0" w:color="auto"/>
        <w:bottom w:val="none" w:sz="0" w:space="0" w:color="auto"/>
        <w:right w:val="none" w:sz="0" w:space="0" w:color="auto"/>
      </w:divBdr>
    </w:div>
    <w:div w:id="286132144">
      <w:bodyDiv w:val="1"/>
      <w:marLeft w:val="0"/>
      <w:marRight w:val="0"/>
      <w:marTop w:val="0"/>
      <w:marBottom w:val="0"/>
      <w:divBdr>
        <w:top w:val="none" w:sz="0" w:space="0" w:color="auto"/>
        <w:left w:val="none" w:sz="0" w:space="0" w:color="auto"/>
        <w:bottom w:val="none" w:sz="0" w:space="0" w:color="auto"/>
        <w:right w:val="none" w:sz="0" w:space="0" w:color="auto"/>
      </w:divBdr>
    </w:div>
    <w:div w:id="304362490">
      <w:bodyDiv w:val="1"/>
      <w:marLeft w:val="0"/>
      <w:marRight w:val="0"/>
      <w:marTop w:val="0"/>
      <w:marBottom w:val="0"/>
      <w:divBdr>
        <w:top w:val="none" w:sz="0" w:space="0" w:color="auto"/>
        <w:left w:val="none" w:sz="0" w:space="0" w:color="auto"/>
        <w:bottom w:val="none" w:sz="0" w:space="0" w:color="auto"/>
        <w:right w:val="none" w:sz="0" w:space="0" w:color="auto"/>
      </w:divBdr>
    </w:div>
    <w:div w:id="331837334">
      <w:bodyDiv w:val="1"/>
      <w:marLeft w:val="0"/>
      <w:marRight w:val="0"/>
      <w:marTop w:val="0"/>
      <w:marBottom w:val="0"/>
      <w:divBdr>
        <w:top w:val="none" w:sz="0" w:space="0" w:color="auto"/>
        <w:left w:val="none" w:sz="0" w:space="0" w:color="auto"/>
        <w:bottom w:val="none" w:sz="0" w:space="0" w:color="auto"/>
        <w:right w:val="none" w:sz="0" w:space="0" w:color="auto"/>
      </w:divBdr>
    </w:div>
    <w:div w:id="345791074">
      <w:bodyDiv w:val="1"/>
      <w:marLeft w:val="0"/>
      <w:marRight w:val="0"/>
      <w:marTop w:val="0"/>
      <w:marBottom w:val="0"/>
      <w:divBdr>
        <w:top w:val="none" w:sz="0" w:space="0" w:color="auto"/>
        <w:left w:val="none" w:sz="0" w:space="0" w:color="auto"/>
        <w:bottom w:val="none" w:sz="0" w:space="0" w:color="auto"/>
        <w:right w:val="none" w:sz="0" w:space="0" w:color="auto"/>
      </w:divBdr>
    </w:div>
    <w:div w:id="375785114">
      <w:bodyDiv w:val="1"/>
      <w:marLeft w:val="0"/>
      <w:marRight w:val="0"/>
      <w:marTop w:val="0"/>
      <w:marBottom w:val="0"/>
      <w:divBdr>
        <w:top w:val="none" w:sz="0" w:space="0" w:color="auto"/>
        <w:left w:val="none" w:sz="0" w:space="0" w:color="auto"/>
        <w:bottom w:val="none" w:sz="0" w:space="0" w:color="auto"/>
        <w:right w:val="none" w:sz="0" w:space="0" w:color="auto"/>
      </w:divBdr>
    </w:div>
    <w:div w:id="376047570">
      <w:bodyDiv w:val="1"/>
      <w:marLeft w:val="0"/>
      <w:marRight w:val="0"/>
      <w:marTop w:val="0"/>
      <w:marBottom w:val="0"/>
      <w:divBdr>
        <w:top w:val="none" w:sz="0" w:space="0" w:color="auto"/>
        <w:left w:val="none" w:sz="0" w:space="0" w:color="auto"/>
        <w:bottom w:val="none" w:sz="0" w:space="0" w:color="auto"/>
        <w:right w:val="none" w:sz="0" w:space="0" w:color="auto"/>
      </w:divBdr>
    </w:div>
    <w:div w:id="410321889">
      <w:bodyDiv w:val="1"/>
      <w:marLeft w:val="0"/>
      <w:marRight w:val="0"/>
      <w:marTop w:val="0"/>
      <w:marBottom w:val="0"/>
      <w:divBdr>
        <w:top w:val="none" w:sz="0" w:space="0" w:color="auto"/>
        <w:left w:val="none" w:sz="0" w:space="0" w:color="auto"/>
        <w:bottom w:val="none" w:sz="0" w:space="0" w:color="auto"/>
        <w:right w:val="none" w:sz="0" w:space="0" w:color="auto"/>
      </w:divBdr>
    </w:div>
    <w:div w:id="446702585">
      <w:bodyDiv w:val="1"/>
      <w:marLeft w:val="0"/>
      <w:marRight w:val="0"/>
      <w:marTop w:val="0"/>
      <w:marBottom w:val="0"/>
      <w:divBdr>
        <w:top w:val="none" w:sz="0" w:space="0" w:color="auto"/>
        <w:left w:val="none" w:sz="0" w:space="0" w:color="auto"/>
        <w:bottom w:val="none" w:sz="0" w:space="0" w:color="auto"/>
        <w:right w:val="none" w:sz="0" w:space="0" w:color="auto"/>
      </w:divBdr>
    </w:div>
    <w:div w:id="468935261">
      <w:bodyDiv w:val="1"/>
      <w:marLeft w:val="0"/>
      <w:marRight w:val="0"/>
      <w:marTop w:val="0"/>
      <w:marBottom w:val="0"/>
      <w:divBdr>
        <w:top w:val="none" w:sz="0" w:space="0" w:color="auto"/>
        <w:left w:val="none" w:sz="0" w:space="0" w:color="auto"/>
        <w:bottom w:val="none" w:sz="0" w:space="0" w:color="auto"/>
        <w:right w:val="none" w:sz="0" w:space="0" w:color="auto"/>
      </w:divBdr>
    </w:div>
    <w:div w:id="590896895">
      <w:bodyDiv w:val="1"/>
      <w:marLeft w:val="0"/>
      <w:marRight w:val="0"/>
      <w:marTop w:val="0"/>
      <w:marBottom w:val="0"/>
      <w:divBdr>
        <w:top w:val="none" w:sz="0" w:space="0" w:color="auto"/>
        <w:left w:val="none" w:sz="0" w:space="0" w:color="auto"/>
        <w:bottom w:val="none" w:sz="0" w:space="0" w:color="auto"/>
        <w:right w:val="none" w:sz="0" w:space="0" w:color="auto"/>
      </w:divBdr>
    </w:div>
    <w:div w:id="615910558">
      <w:bodyDiv w:val="1"/>
      <w:marLeft w:val="0"/>
      <w:marRight w:val="0"/>
      <w:marTop w:val="0"/>
      <w:marBottom w:val="0"/>
      <w:divBdr>
        <w:top w:val="none" w:sz="0" w:space="0" w:color="auto"/>
        <w:left w:val="none" w:sz="0" w:space="0" w:color="auto"/>
        <w:bottom w:val="none" w:sz="0" w:space="0" w:color="auto"/>
        <w:right w:val="none" w:sz="0" w:space="0" w:color="auto"/>
      </w:divBdr>
    </w:div>
    <w:div w:id="640771896">
      <w:bodyDiv w:val="1"/>
      <w:marLeft w:val="0"/>
      <w:marRight w:val="0"/>
      <w:marTop w:val="0"/>
      <w:marBottom w:val="0"/>
      <w:divBdr>
        <w:top w:val="none" w:sz="0" w:space="0" w:color="auto"/>
        <w:left w:val="none" w:sz="0" w:space="0" w:color="auto"/>
        <w:bottom w:val="none" w:sz="0" w:space="0" w:color="auto"/>
        <w:right w:val="none" w:sz="0" w:space="0" w:color="auto"/>
      </w:divBdr>
    </w:div>
    <w:div w:id="653991264">
      <w:bodyDiv w:val="1"/>
      <w:marLeft w:val="0"/>
      <w:marRight w:val="0"/>
      <w:marTop w:val="0"/>
      <w:marBottom w:val="0"/>
      <w:divBdr>
        <w:top w:val="none" w:sz="0" w:space="0" w:color="auto"/>
        <w:left w:val="none" w:sz="0" w:space="0" w:color="auto"/>
        <w:bottom w:val="none" w:sz="0" w:space="0" w:color="auto"/>
        <w:right w:val="none" w:sz="0" w:space="0" w:color="auto"/>
      </w:divBdr>
    </w:div>
    <w:div w:id="665977545">
      <w:bodyDiv w:val="1"/>
      <w:marLeft w:val="0"/>
      <w:marRight w:val="0"/>
      <w:marTop w:val="0"/>
      <w:marBottom w:val="0"/>
      <w:divBdr>
        <w:top w:val="none" w:sz="0" w:space="0" w:color="auto"/>
        <w:left w:val="none" w:sz="0" w:space="0" w:color="auto"/>
        <w:bottom w:val="none" w:sz="0" w:space="0" w:color="auto"/>
        <w:right w:val="none" w:sz="0" w:space="0" w:color="auto"/>
      </w:divBdr>
    </w:div>
    <w:div w:id="692265221">
      <w:bodyDiv w:val="1"/>
      <w:marLeft w:val="0"/>
      <w:marRight w:val="0"/>
      <w:marTop w:val="0"/>
      <w:marBottom w:val="0"/>
      <w:divBdr>
        <w:top w:val="none" w:sz="0" w:space="0" w:color="auto"/>
        <w:left w:val="none" w:sz="0" w:space="0" w:color="auto"/>
        <w:bottom w:val="none" w:sz="0" w:space="0" w:color="auto"/>
        <w:right w:val="none" w:sz="0" w:space="0" w:color="auto"/>
      </w:divBdr>
    </w:div>
    <w:div w:id="763889084">
      <w:bodyDiv w:val="1"/>
      <w:marLeft w:val="0"/>
      <w:marRight w:val="0"/>
      <w:marTop w:val="0"/>
      <w:marBottom w:val="0"/>
      <w:divBdr>
        <w:top w:val="none" w:sz="0" w:space="0" w:color="auto"/>
        <w:left w:val="none" w:sz="0" w:space="0" w:color="auto"/>
        <w:bottom w:val="none" w:sz="0" w:space="0" w:color="auto"/>
        <w:right w:val="none" w:sz="0" w:space="0" w:color="auto"/>
      </w:divBdr>
      <w:divsChild>
        <w:div w:id="1731077324">
          <w:marLeft w:val="0"/>
          <w:marRight w:val="0"/>
          <w:marTop w:val="0"/>
          <w:marBottom w:val="0"/>
          <w:divBdr>
            <w:top w:val="none" w:sz="0" w:space="0" w:color="auto"/>
            <w:left w:val="none" w:sz="0" w:space="0" w:color="auto"/>
            <w:bottom w:val="none" w:sz="0" w:space="0" w:color="auto"/>
            <w:right w:val="none" w:sz="0" w:space="0" w:color="auto"/>
          </w:divBdr>
          <w:divsChild>
            <w:div w:id="8083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7858">
      <w:bodyDiv w:val="1"/>
      <w:marLeft w:val="0"/>
      <w:marRight w:val="0"/>
      <w:marTop w:val="0"/>
      <w:marBottom w:val="0"/>
      <w:divBdr>
        <w:top w:val="none" w:sz="0" w:space="0" w:color="auto"/>
        <w:left w:val="none" w:sz="0" w:space="0" w:color="auto"/>
        <w:bottom w:val="none" w:sz="0" w:space="0" w:color="auto"/>
        <w:right w:val="none" w:sz="0" w:space="0" w:color="auto"/>
      </w:divBdr>
    </w:div>
    <w:div w:id="829709760">
      <w:bodyDiv w:val="1"/>
      <w:marLeft w:val="0"/>
      <w:marRight w:val="0"/>
      <w:marTop w:val="0"/>
      <w:marBottom w:val="0"/>
      <w:divBdr>
        <w:top w:val="none" w:sz="0" w:space="0" w:color="auto"/>
        <w:left w:val="none" w:sz="0" w:space="0" w:color="auto"/>
        <w:bottom w:val="none" w:sz="0" w:space="0" w:color="auto"/>
        <w:right w:val="none" w:sz="0" w:space="0" w:color="auto"/>
      </w:divBdr>
    </w:div>
    <w:div w:id="869534293">
      <w:bodyDiv w:val="1"/>
      <w:marLeft w:val="0"/>
      <w:marRight w:val="0"/>
      <w:marTop w:val="0"/>
      <w:marBottom w:val="0"/>
      <w:divBdr>
        <w:top w:val="none" w:sz="0" w:space="0" w:color="auto"/>
        <w:left w:val="none" w:sz="0" w:space="0" w:color="auto"/>
        <w:bottom w:val="none" w:sz="0" w:space="0" w:color="auto"/>
        <w:right w:val="none" w:sz="0" w:space="0" w:color="auto"/>
      </w:divBdr>
      <w:divsChild>
        <w:div w:id="306127218">
          <w:marLeft w:val="0"/>
          <w:marRight w:val="0"/>
          <w:marTop w:val="0"/>
          <w:marBottom w:val="0"/>
          <w:divBdr>
            <w:top w:val="none" w:sz="0" w:space="0" w:color="auto"/>
            <w:left w:val="none" w:sz="0" w:space="0" w:color="auto"/>
            <w:bottom w:val="none" w:sz="0" w:space="0" w:color="auto"/>
            <w:right w:val="none" w:sz="0" w:space="0" w:color="auto"/>
          </w:divBdr>
          <w:divsChild>
            <w:div w:id="168062370">
              <w:marLeft w:val="0"/>
              <w:marRight w:val="0"/>
              <w:marTop w:val="0"/>
              <w:marBottom w:val="0"/>
              <w:divBdr>
                <w:top w:val="none" w:sz="0" w:space="0" w:color="auto"/>
                <w:left w:val="none" w:sz="0" w:space="0" w:color="auto"/>
                <w:bottom w:val="none" w:sz="0" w:space="0" w:color="auto"/>
                <w:right w:val="none" w:sz="0" w:space="0" w:color="auto"/>
              </w:divBdr>
            </w:div>
            <w:div w:id="19752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6380">
      <w:bodyDiv w:val="1"/>
      <w:marLeft w:val="0"/>
      <w:marRight w:val="0"/>
      <w:marTop w:val="0"/>
      <w:marBottom w:val="0"/>
      <w:divBdr>
        <w:top w:val="none" w:sz="0" w:space="0" w:color="auto"/>
        <w:left w:val="none" w:sz="0" w:space="0" w:color="auto"/>
        <w:bottom w:val="none" w:sz="0" w:space="0" w:color="auto"/>
        <w:right w:val="none" w:sz="0" w:space="0" w:color="auto"/>
      </w:divBdr>
    </w:div>
    <w:div w:id="914626239">
      <w:bodyDiv w:val="1"/>
      <w:marLeft w:val="0"/>
      <w:marRight w:val="0"/>
      <w:marTop w:val="0"/>
      <w:marBottom w:val="0"/>
      <w:divBdr>
        <w:top w:val="none" w:sz="0" w:space="0" w:color="auto"/>
        <w:left w:val="none" w:sz="0" w:space="0" w:color="auto"/>
        <w:bottom w:val="none" w:sz="0" w:space="0" w:color="auto"/>
        <w:right w:val="none" w:sz="0" w:space="0" w:color="auto"/>
      </w:divBdr>
    </w:div>
    <w:div w:id="960888871">
      <w:bodyDiv w:val="1"/>
      <w:marLeft w:val="0"/>
      <w:marRight w:val="0"/>
      <w:marTop w:val="0"/>
      <w:marBottom w:val="0"/>
      <w:divBdr>
        <w:top w:val="none" w:sz="0" w:space="0" w:color="auto"/>
        <w:left w:val="none" w:sz="0" w:space="0" w:color="auto"/>
        <w:bottom w:val="none" w:sz="0" w:space="0" w:color="auto"/>
        <w:right w:val="none" w:sz="0" w:space="0" w:color="auto"/>
      </w:divBdr>
    </w:div>
    <w:div w:id="963074941">
      <w:bodyDiv w:val="1"/>
      <w:marLeft w:val="0"/>
      <w:marRight w:val="0"/>
      <w:marTop w:val="0"/>
      <w:marBottom w:val="0"/>
      <w:divBdr>
        <w:top w:val="none" w:sz="0" w:space="0" w:color="auto"/>
        <w:left w:val="none" w:sz="0" w:space="0" w:color="auto"/>
        <w:bottom w:val="none" w:sz="0" w:space="0" w:color="auto"/>
        <w:right w:val="none" w:sz="0" w:space="0" w:color="auto"/>
      </w:divBdr>
    </w:div>
    <w:div w:id="977101922">
      <w:bodyDiv w:val="1"/>
      <w:marLeft w:val="0"/>
      <w:marRight w:val="0"/>
      <w:marTop w:val="0"/>
      <w:marBottom w:val="0"/>
      <w:divBdr>
        <w:top w:val="none" w:sz="0" w:space="0" w:color="auto"/>
        <w:left w:val="none" w:sz="0" w:space="0" w:color="auto"/>
        <w:bottom w:val="none" w:sz="0" w:space="0" w:color="auto"/>
        <w:right w:val="none" w:sz="0" w:space="0" w:color="auto"/>
      </w:divBdr>
    </w:div>
    <w:div w:id="985864383">
      <w:bodyDiv w:val="1"/>
      <w:marLeft w:val="0"/>
      <w:marRight w:val="0"/>
      <w:marTop w:val="0"/>
      <w:marBottom w:val="0"/>
      <w:divBdr>
        <w:top w:val="none" w:sz="0" w:space="0" w:color="auto"/>
        <w:left w:val="none" w:sz="0" w:space="0" w:color="auto"/>
        <w:bottom w:val="none" w:sz="0" w:space="0" w:color="auto"/>
        <w:right w:val="none" w:sz="0" w:space="0" w:color="auto"/>
      </w:divBdr>
      <w:divsChild>
        <w:div w:id="904413834">
          <w:marLeft w:val="0"/>
          <w:marRight w:val="0"/>
          <w:marTop w:val="0"/>
          <w:marBottom w:val="0"/>
          <w:divBdr>
            <w:top w:val="none" w:sz="0" w:space="0" w:color="auto"/>
            <w:left w:val="none" w:sz="0" w:space="0" w:color="auto"/>
            <w:bottom w:val="none" w:sz="0" w:space="0" w:color="auto"/>
            <w:right w:val="none" w:sz="0" w:space="0" w:color="auto"/>
          </w:divBdr>
          <w:divsChild>
            <w:div w:id="751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8362">
      <w:bodyDiv w:val="1"/>
      <w:marLeft w:val="0"/>
      <w:marRight w:val="0"/>
      <w:marTop w:val="0"/>
      <w:marBottom w:val="0"/>
      <w:divBdr>
        <w:top w:val="none" w:sz="0" w:space="0" w:color="auto"/>
        <w:left w:val="none" w:sz="0" w:space="0" w:color="auto"/>
        <w:bottom w:val="none" w:sz="0" w:space="0" w:color="auto"/>
        <w:right w:val="none" w:sz="0" w:space="0" w:color="auto"/>
      </w:divBdr>
    </w:div>
    <w:div w:id="1116294165">
      <w:bodyDiv w:val="1"/>
      <w:marLeft w:val="0"/>
      <w:marRight w:val="0"/>
      <w:marTop w:val="0"/>
      <w:marBottom w:val="0"/>
      <w:divBdr>
        <w:top w:val="none" w:sz="0" w:space="0" w:color="auto"/>
        <w:left w:val="none" w:sz="0" w:space="0" w:color="auto"/>
        <w:bottom w:val="none" w:sz="0" w:space="0" w:color="auto"/>
        <w:right w:val="none" w:sz="0" w:space="0" w:color="auto"/>
      </w:divBdr>
    </w:div>
    <w:div w:id="1148325776">
      <w:bodyDiv w:val="1"/>
      <w:marLeft w:val="0"/>
      <w:marRight w:val="0"/>
      <w:marTop w:val="0"/>
      <w:marBottom w:val="0"/>
      <w:divBdr>
        <w:top w:val="none" w:sz="0" w:space="0" w:color="auto"/>
        <w:left w:val="none" w:sz="0" w:space="0" w:color="auto"/>
        <w:bottom w:val="none" w:sz="0" w:space="0" w:color="auto"/>
        <w:right w:val="none" w:sz="0" w:space="0" w:color="auto"/>
      </w:divBdr>
    </w:div>
    <w:div w:id="1173568835">
      <w:bodyDiv w:val="1"/>
      <w:marLeft w:val="0"/>
      <w:marRight w:val="0"/>
      <w:marTop w:val="0"/>
      <w:marBottom w:val="0"/>
      <w:divBdr>
        <w:top w:val="none" w:sz="0" w:space="0" w:color="auto"/>
        <w:left w:val="none" w:sz="0" w:space="0" w:color="auto"/>
        <w:bottom w:val="none" w:sz="0" w:space="0" w:color="auto"/>
        <w:right w:val="none" w:sz="0" w:space="0" w:color="auto"/>
      </w:divBdr>
    </w:div>
    <w:div w:id="1292904620">
      <w:bodyDiv w:val="1"/>
      <w:marLeft w:val="0"/>
      <w:marRight w:val="0"/>
      <w:marTop w:val="0"/>
      <w:marBottom w:val="0"/>
      <w:divBdr>
        <w:top w:val="none" w:sz="0" w:space="0" w:color="auto"/>
        <w:left w:val="none" w:sz="0" w:space="0" w:color="auto"/>
        <w:bottom w:val="none" w:sz="0" w:space="0" w:color="auto"/>
        <w:right w:val="none" w:sz="0" w:space="0" w:color="auto"/>
      </w:divBdr>
    </w:div>
    <w:div w:id="1297905962">
      <w:bodyDiv w:val="1"/>
      <w:marLeft w:val="0"/>
      <w:marRight w:val="0"/>
      <w:marTop w:val="0"/>
      <w:marBottom w:val="0"/>
      <w:divBdr>
        <w:top w:val="none" w:sz="0" w:space="0" w:color="auto"/>
        <w:left w:val="none" w:sz="0" w:space="0" w:color="auto"/>
        <w:bottom w:val="none" w:sz="0" w:space="0" w:color="auto"/>
        <w:right w:val="none" w:sz="0" w:space="0" w:color="auto"/>
      </w:divBdr>
    </w:div>
    <w:div w:id="1306470727">
      <w:bodyDiv w:val="1"/>
      <w:marLeft w:val="0"/>
      <w:marRight w:val="0"/>
      <w:marTop w:val="0"/>
      <w:marBottom w:val="0"/>
      <w:divBdr>
        <w:top w:val="none" w:sz="0" w:space="0" w:color="auto"/>
        <w:left w:val="none" w:sz="0" w:space="0" w:color="auto"/>
        <w:bottom w:val="none" w:sz="0" w:space="0" w:color="auto"/>
        <w:right w:val="none" w:sz="0" w:space="0" w:color="auto"/>
      </w:divBdr>
      <w:divsChild>
        <w:div w:id="647172686">
          <w:marLeft w:val="0"/>
          <w:marRight w:val="0"/>
          <w:marTop w:val="0"/>
          <w:marBottom w:val="0"/>
          <w:divBdr>
            <w:top w:val="none" w:sz="0" w:space="0" w:color="auto"/>
            <w:left w:val="none" w:sz="0" w:space="0" w:color="auto"/>
            <w:bottom w:val="none" w:sz="0" w:space="0" w:color="auto"/>
            <w:right w:val="none" w:sz="0" w:space="0" w:color="auto"/>
          </w:divBdr>
          <w:divsChild>
            <w:div w:id="1941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0340">
      <w:bodyDiv w:val="1"/>
      <w:marLeft w:val="0"/>
      <w:marRight w:val="0"/>
      <w:marTop w:val="0"/>
      <w:marBottom w:val="0"/>
      <w:divBdr>
        <w:top w:val="none" w:sz="0" w:space="0" w:color="auto"/>
        <w:left w:val="none" w:sz="0" w:space="0" w:color="auto"/>
        <w:bottom w:val="none" w:sz="0" w:space="0" w:color="auto"/>
        <w:right w:val="none" w:sz="0" w:space="0" w:color="auto"/>
      </w:divBdr>
    </w:div>
    <w:div w:id="1420827270">
      <w:bodyDiv w:val="1"/>
      <w:marLeft w:val="0"/>
      <w:marRight w:val="0"/>
      <w:marTop w:val="0"/>
      <w:marBottom w:val="0"/>
      <w:divBdr>
        <w:top w:val="none" w:sz="0" w:space="0" w:color="auto"/>
        <w:left w:val="none" w:sz="0" w:space="0" w:color="auto"/>
        <w:bottom w:val="none" w:sz="0" w:space="0" w:color="auto"/>
        <w:right w:val="none" w:sz="0" w:space="0" w:color="auto"/>
      </w:divBdr>
    </w:div>
    <w:div w:id="1443921562">
      <w:bodyDiv w:val="1"/>
      <w:marLeft w:val="0"/>
      <w:marRight w:val="0"/>
      <w:marTop w:val="0"/>
      <w:marBottom w:val="0"/>
      <w:divBdr>
        <w:top w:val="none" w:sz="0" w:space="0" w:color="auto"/>
        <w:left w:val="none" w:sz="0" w:space="0" w:color="auto"/>
        <w:bottom w:val="none" w:sz="0" w:space="0" w:color="auto"/>
        <w:right w:val="none" w:sz="0" w:space="0" w:color="auto"/>
      </w:divBdr>
    </w:div>
    <w:div w:id="1444423327">
      <w:bodyDiv w:val="1"/>
      <w:marLeft w:val="0"/>
      <w:marRight w:val="0"/>
      <w:marTop w:val="0"/>
      <w:marBottom w:val="0"/>
      <w:divBdr>
        <w:top w:val="none" w:sz="0" w:space="0" w:color="auto"/>
        <w:left w:val="none" w:sz="0" w:space="0" w:color="auto"/>
        <w:bottom w:val="none" w:sz="0" w:space="0" w:color="auto"/>
        <w:right w:val="none" w:sz="0" w:space="0" w:color="auto"/>
      </w:divBdr>
    </w:div>
    <w:div w:id="1447315694">
      <w:bodyDiv w:val="1"/>
      <w:marLeft w:val="0"/>
      <w:marRight w:val="0"/>
      <w:marTop w:val="0"/>
      <w:marBottom w:val="0"/>
      <w:divBdr>
        <w:top w:val="none" w:sz="0" w:space="0" w:color="auto"/>
        <w:left w:val="none" w:sz="0" w:space="0" w:color="auto"/>
        <w:bottom w:val="none" w:sz="0" w:space="0" w:color="auto"/>
        <w:right w:val="none" w:sz="0" w:space="0" w:color="auto"/>
      </w:divBdr>
      <w:divsChild>
        <w:div w:id="431509101">
          <w:marLeft w:val="0"/>
          <w:marRight w:val="0"/>
          <w:marTop w:val="0"/>
          <w:marBottom w:val="0"/>
          <w:divBdr>
            <w:top w:val="none" w:sz="0" w:space="0" w:color="auto"/>
            <w:left w:val="none" w:sz="0" w:space="0" w:color="auto"/>
            <w:bottom w:val="none" w:sz="0" w:space="0" w:color="auto"/>
            <w:right w:val="none" w:sz="0" w:space="0" w:color="auto"/>
          </w:divBdr>
          <w:divsChild>
            <w:div w:id="830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6143">
      <w:bodyDiv w:val="1"/>
      <w:marLeft w:val="0"/>
      <w:marRight w:val="0"/>
      <w:marTop w:val="0"/>
      <w:marBottom w:val="0"/>
      <w:divBdr>
        <w:top w:val="none" w:sz="0" w:space="0" w:color="auto"/>
        <w:left w:val="none" w:sz="0" w:space="0" w:color="auto"/>
        <w:bottom w:val="none" w:sz="0" w:space="0" w:color="auto"/>
        <w:right w:val="none" w:sz="0" w:space="0" w:color="auto"/>
      </w:divBdr>
    </w:div>
    <w:div w:id="1560358390">
      <w:bodyDiv w:val="1"/>
      <w:marLeft w:val="0"/>
      <w:marRight w:val="0"/>
      <w:marTop w:val="0"/>
      <w:marBottom w:val="0"/>
      <w:divBdr>
        <w:top w:val="none" w:sz="0" w:space="0" w:color="auto"/>
        <w:left w:val="none" w:sz="0" w:space="0" w:color="auto"/>
        <w:bottom w:val="none" w:sz="0" w:space="0" w:color="auto"/>
        <w:right w:val="none" w:sz="0" w:space="0" w:color="auto"/>
      </w:divBdr>
    </w:div>
    <w:div w:id="1639413287">
      <w:bodyDiv w:val="1"/>
      <w:marLeft w:val="0"/>
      <w:marRight w:val="0"/>
      <w:marTop w:val="0"/>
      <w:marBottom w:val="0"/>
      <w:divBdr>
        <w:top w:val="none" w:sz="0" w:space="0" w:color="auto"/>
        <w:left w:val="none" w:sz="0" w:space="0" w:color="auto"/>
        <w:bottom w:val="none" w:sz="0" w:space="0" w:color="auto"/>
        <w:right w:val="none" w:sz="0" w:space="0" w:color="auto"/>
      </w:divBdr>
    </w:div>
    <w:div w:id="1666664930">
      <w:bodyDiv w:val="1"/>
      <w:marLeft w:val="0"/>
      <w:marRight w:val="0"/>
      <w:marTop w:val="0"/>
      <w:marBottom w:val="0"/>
      <w:divBdr>
        <w:top w:val="none" w:sz="0" w:space="0" w:color="auto"/>
        <w:left w:val="none" w:sz="0" w:space="0" w:color="auto"/>
        <w:bottom w:val="none" w:sz="0" w:space="0" w:color="auto"/>
        <w:right w:val="none" w:sz="0" w:space="0" w:color="auto"/>
      </w:divBdr>
    </w:div>
    <w:div w:id="1677418339">
      <w:bodyDiv w:val="1"/>
      <w:marLeft w:val="0"/>
      <w:marRight w:val="0"/>
      <w:marTop w:val="0"/>
      <w:marBottom w:val="0"/>
      <w:divBdr>
        <w:top w:val="none" w:sz="0" w:space="0" w:color="auto"/>
        <w:left w:val="none" w:sz="0" w:space="0" w:color="auto"/>
        <w:bottom w:val="none" w:sz="0" w:space="0" w:color="auto"/>
        <w:right w:val="none" w:sz="0" w:space="0" w:color="auto"/>
      </w:divBdr>
    </w:div>
    <w:div w:id="1681080031">
      <w:bodyDiv w:val="1"/>
      <w:marLeft w:val="0"/>
      <w:marRight w:val="0"/>
      <w:marTop w:val="0"/>
      <w:marBottom w:val="0"/>
      <w:divBdr>
        <w:top w:val="none" w:sz="0" w:space="0" w:color="auto"/>
        <w:left w:val="none" w:sz="0" w:space="0" w:color="auto"/>
        <w:bottom w:val="none" w:sz="0" w:space="0" w:color="auto"/>
        <w:right w:val="none" w:sz="0" w:space="0" w:color="auto"/>
      </w:divBdr>
    </w:div>
    <w:div w:id="1700201204">
      <w:bodyDiv w:val="1"/>
      <w:marLeft w:val="0"/>
      <w:marRight w:val="0"/>
      <w:marTop w:val="0"/>
      <w:marBottom w:val="0"/>
      <w:divBdr>
        <w:top w:val="none" w:sz="0" w:space="0" w:color="auto"/>
        <w:left w:val="none" w:sz="0" w:space="0" w:color="auto"/>
        <w:bottom w:val="none" w:sz="0" w:space="0" w:color="auto"/>
        <w:right w:val="none" w:sz="0" w:space="0" w:color="auto"/>
      </w:divBdr>
    </w:div>
    <w:div w:id="1705909367">
      <w:bodyDiv w:val="1"/>
      <w:marLeft w:val="0"/>
      <w:marRight w:val="0"/>
      <w:marTop w:val="0"/>
      <w:marBottom w:val="0"/>
      <w:divBdr>
        <w:top w:val="none" w:sz="0" w:space="0" w:color="auto"/>
        <w:left w:val="none" w:sz="0" w:space="0" w:color="auto"/>
        <w:bottom w:val="none" w:sz="0" w:space="0" w:color="auto"/>
        <w:right w:val="none" w:sz="0" w:space="0" w:color="auto"/>
      </w:divBdr>
    </w:div>
    <w:div w:id="1725061790">
      <w:bodyDiv w:val="1"/>
      <w:marLeft w:val="0"/>
      <w:marRight w:val="0"/>
      <w:marTop w:val="0"/>
      <w:marBottom w:val="0"/>
      <w:divBdr>
        <w:top w:val="none" w:sz="0" w:space="0" w:color="auto"/>
        <w:left w:val="none" w:sz="0" w:space="0" w:color="auto"/>
        <w:bottom w:val="none" w:sz="0" w:space="0" w:color="auto"/>
        <w:right w:val="none" w:sz="0" w:space="0" w:color="auto"/>
      </w:divBdr>
    </w:div>
    <w:div w:id="1727794505">
      <w:bodyDiv w:val="1"/>
      <w:marLeft w:val="0"/>
      <w:marRight w:val="0"/>
      <w:marTop w:val="0"/>
      <w:marBottom w:val="0"/>
      <w:divBdr>
        <w:top w:val="none" w:sz="0" w:space="0" w:color="auto"/>
        <w:left w:val="none" w:sz="0" w:space="0" w:color="auto"/>
        <w:bottom w:val="none" w:sz="0" w:space="0" w:color="auto"/>
        <w:right w:val="none" w:sz="0" w:space="0" w:color="auto"/>
      </w:divBdr>
    </w:div>
    <w:div w:id="1825851919">
      <w:bodyDiv w:val="1"/>
      <w:marLeft w:val="0"/>
      <w:marRight w:val="0"/>
      <w:marTop w:val="0"/>
      <w:marBottom w:val="0"/>
      <w:divBdr>
        <w:top w:val="none" w:sz="0" w:space="0" w:color="auto"/>
        <w:left w:val="none" w:sz="0" w:space="0" w:color="auto"/>
        <w:bottom w:val="none" w:sz="0" w:space="0" w:color="auto"/>
        <w:right w:val="none" w:sz="0" w:space="0" w:color="auto"/>
      </w:divBdr>
    </w:div>
    <w:div w:id="1924098055">
      <w:bodyDiv w:val="1"/>
      <w:marLeft w:val="0"/>
      <w:marRight w:val="0"/>
      <w:marTop w:val="0"/>
      <w:marBottom w:val="0"/>
      <w:divBdr>
        <w:top w:val="none" w:sz="0" w:space="0" w:color="auto"/>
        <w:left w:val="none" w:sz="0" w:space="0" w:color="auto"/>
        <w:bottom w:val="none" w:sz="0" w:space="0" w:color="auto"/>
        <w:right w:val="none" w:sz="0" w:space="0" w:color="auto"/>
      </w:divBdr>
    </w:div>
    <w:div w:id="1935354142">
      <w:bodyDiv w:val="1"/>
      <w:marLeft w:val="0"/>
      <w:marRight w:val="0"/>
      <w:marTop w:val="0"/>
      <w:marBottom w:val="0"/>
      <w:divBdr>
        <w:top w:val="none" w:sz="0" w:space="0" w:color="auto"/>
        <w:left w:val="none" w:sz="0" w:space="0" w:color="auto"/>
        <w:bottom w:val="none" w:sz="0" w:space="0" w:color="auto"/>
        <w:right w:val="none" w:sz="0" w:space="0" w:color="auto"/>
      </w:divBdr>
    </w:div>
    <w:div w:id="1945532735">
      <w:bodyDiv w:val="1"/>
      <w:marLeft w:val="0"/>
      <w:marRight w:val="0"/>
      <w:marTop w:val="0"/>
      <w:marBottom w:val="0"/>
      <w:divBdr>
        <w:top w:val="none" w:sz="0" w:space="0" w:color="auto"/>
        <w:left w:val="none" w:sz="0" w:space="0" w:color="auto"/>
        <w:bottom w:val="none" w:sz="0" w:space="0" w:color="auto"/>
        <w:right w:val="none" w:sz="0" w:space="0" w:color="auto"/>
      </w:divBdr>
    </w:div>
    <w:div w:id="1948540772">
      <w:bodyDiv w:val="1"/>
      <w:marLeft w:val="0"/>
      <w:marRight w:val="0"/>
      <w:marTop w:val="0"/>
      <w:marBottom w:val="0"/>
      <w:divBdr>
        <w:top w:val="none" w:sz="0" w:space="0" w:color="auto"/>
        <w:left w:val="none" w:sz="0" w:space="0" w:color="auto"/>
        <w:bottom w:val="none" w:sz="0" w:space="0" w:color="auto"/>
        <w:right w:val="none" w:sz="0" w:space="0" w:color="auto"/>
      </w:divBdr>
    </w:div>
    <w:div w:id="1999920364">
      <w:bodyDiv w:val="1"/>
      <w:marLeft w:val="0"/>
      <w:marRight w:val="0"/>
      <w:marTop w:val="0"/>
      <w:marBottom w:val="0"/>
      <w:divBdr>
        <w:top w:val="none" w:sz="0" w:space="0" w:color="auto"/>
        <w:left w:val="none" w:sz="0" w:space="0" w:color="auto"/>
        <w:bottom w:val="none" w:sz="0" w:space="0" w:color="auto"/>
        <w:right w:val="none" w:sz="0" w:space="0" w:color="auto"/>
      </w:divBdr>
    </w:div>
    <w:div w:id="2005236581">
      <w:bodyDiv w:val="1"/>
      <w:marLeft w:val="0"/>
      <w:marRight w:val="0"/>
      <w:marTop w:val="0"/>
      <w:marBottom w:val="0"/>
      <w:divBdr>
        <w:top w:val="none" w:sz="0" w:space="0" w:color="auto"/>
        <w:left w:val="none" w:sz="0" w:space="0" w:color="auto"/>
        <w:bottom w:val="none" w:sz="0" w:space="0" w:color="auto"/>
        <w:right w:val="none" w:sz="0" w:space="0" w:color="auto"/>
      </w:divBdr>
    </w:div>
    <w:div w:id="2043969373">
      <w:bodyDiv w:val="1"/>
      <w:marLeft w:val="0"/>
      <w:marRight w:val="0"/>
      <w:marTop w:val="0"/>
      <w:marBottom w:val="0"/>
      <w:divBdr>
        <w:top w:val="none" w:sz="0" w:space="0" w:color="auto"/>
        <w:left w:val="none" w:sz="0" w:space="0" w:color="auto"/>
        <w:bottom w:val="none" w:sz="0" w:space="0" w:color="auto"/>
        <w:right w:val="none" w:sz="0" w:space="0" w:color="auto"/>
      </w:divBdr>
    </w:div>
    <w:div w:id="2055109856">
      <w:bodyDiv w:val="1"/>
      <w:marLeft w:val="0"/>
      <w:marRight w:val="0"/>
      <w:marTop w:val="0"/>
      <w:marBottom w:val="0"/>
      <w:divBdr>
        <w:top w:val="none" w:sz="0" w:space="0" w:color="auto"/>
        <w:left w:val="none" w:sz="0" w:space="0" w:color="auto"/>
        <w:bottom w:val="none" w:sz="0" w:space="0" w:color="auto"/>
        <w:right w:val="none" w:sz="0" w:space="0" w:color="auto"/>
      </w:divBdr>
    </w:div>
    <w:div w:id="2055999487">
      <w:bodyDiv w:val="1"/>
      <w:marLeft w:val="0"/>
      <w:marRight w:val="0"/>
      <w:marTop w:val="0"/>
      <w:marBottom w:val="0"/>
      <w:divBdr>
        <w:top w:val="none" w:sz="0" w:space="0" w:color="auto"/>
        <w:left w:val="none" w:sz="0" w:space="0" w:color="auto"/>
        <w:bottom w:val="none" w:sz="0" w:space="0" w:color="auto"/>
        <w:right w:val="none" w:sz="0" w:space="0" w:color="auto"/>
      </w:divBdr>
    </w:div>
    <w:div w:id="2064787716">
      <w:bodyDiv w:val="1"/>
      <w:marLeft w:val="0"/>
      <w:marRight w:val="0"/>
      <w:marTop w:val="0"/>
      <w:marBottom w:val="0"/>
      <w:divBdr>
        <w:top w:val="none" w:sz="0" w:space="0" w:color="auto"/>
        <w:left w:val="none" w:sz="0" w:space="0" w:color="auto"/>
        <w:bottom w:val="none" w:sz="0" w:space="0" w:color="auto"/>
        <w:right w:val="none" w:sz="0" w:space="0" w:color="auto"/>
      </w:divBdr>
    </w:div>
    <w:div w:id="2080403773">
      <w:bodyDiv w:val="1"/>
      <w:marLeft w:val="0"/>
      <w:marRight w:val="0"/>
      <w:marTop w:val="0"/>
      <w:marBottom w:val="0"/>
      <w:divBdr>
        <w:top w:val="none" w:sz="0" w:space="0" w:color="auto"/>
        <w:left w:val="none" w:sz="0" w:space="0" w:color="auto"/>
        <w:bottom w:val="none" w:sz="0" w:space="0" w:color="auto"/>
        <w:right w:val="none" w:sz="0" w:space="0" w:color="auto"/>
      </w:divBdr>
      <w:divsChild>
        <w:div w:id="1834180551">
          <w:marLeft w:val="0"/>
          <w:marRight w:val="0"/>
          <w:marTop w:val="0"/>
          <w:marBottom w:val="0"/>
          <w:divBdr>
            <w:top w:val="none" w:sz="0" w:space="0" w:color="auto"/>
            <w:left w:val="none" w:sz="0" w:space="0" w:color="auto"/>
            <w:bottom w:val="none" w:sz="0" w:space="0" w:color="auto"/>
            <w:right w:val="none" w:sz="0" w:space="0" w:color="auto"/>
          </w:divBdr>
          <w:divsChild>
            <w:div w:id="8513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5469">
      <w:bodyDiv w:val="1"/>
      <w:marLeft w:val="0"/>
      <w:marRight w:val="0"/>
      <w:marTop w:val="0"/>
      <w:marBottom w:val="0"/>
      <w:divBdr>
        <w:top w:val="none" w:sz="0" w:space="0" w:color="auto"/>
        <w:left w:val="none" w:sz="0" w:space="0" w:color="auto"/>
        <w:bottom w:val="none" w:sz="0" w:space="0" w:color="auto"/>
        <w:right w:val="none" w:sz="0" w:space="0" w:color="auto"/>
      </w:divBdr>
    </w:div>
    <w:div w:id="211736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0CC6E-8480-415A-81E7-ED53F17B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46</Pages>
  <Words>15691</Words>
  <Characters>89440</Characters>
  <Application>Microsoft Office Word</Application>
  <DocSecurity>0</DocSecurity>
  <Lines>745</Lines>
  <Paragraphs>209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Karl-Franzens-Universität Graz</Company>
  <LinksUpToDate>false</LinksUpToDate>
  <CharactersWithSpaces>104922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Whalley</dc:creator>
  <cp:lastModifiedBy>Howard, Clare</cp:lastModifiedBy>
  <cp:revision>8</cp:revision>
  <dcterms:created xsi:type="dcterms:W3CDTF">2016-02-03T21:52:00Z</dcterms:created>
  <dcterms:modified xsi:type="dcterms:W3CDTF">2016-02-12T11:24:00Z</dcterms:modified>
</cp:coreProperties>
</file>